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61714"/>
          <w:sz w:val="40"/>
          <w:szCs w:val="40"/>
        </w:rPr>
      </w:pPr>
      <w:r w:rsidDel="00000000" w:rsidR="00000000" w:rsidRPr="00000000">
        <w:rPr>
          <w:color w:val="861714"/>
          <w:sz w:val="40"/>
          <w:szCs w:val="40"/>
          <w:rtl w:val="0"/>
        </w:rPr>
        <w:t xml:space="preserve">Texas School for the Blind and Visually Impaired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861714"/>
          <w:sz w:val="32"/>
          <w:szCs w:val="32"/>
        </w:rPr>
      </w:pPr>
      <w:r w:rsidDel="00000000" w:rsidR="00000000" w:rsidRPr="00000000">
        <w:rPr>
          <w:color w:val="861714"/>
          <w:sz w:val="32"/>
          <w:szCs w:val="32"/>
          <w:rtl w:val="0"/>
        </w:rPr>
        <w:t xml:space="preserve">Outreach Programs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</wp:posOffset>
            </wp:positionH>
            <wp:positionV relativeFrom="paragraph">
              <wp:posOffset>-502279</wp:posOffset>
            </wp:positionV>
            <wp:extent cx="865505" cy="914400"/>
            <wp:effectExtent b="0" l="0" r="0" t="0"/>
            <wp:wrapSquare wrapText="bothSides" distB="0" distT="0" distL="114300" distR="114300"/>
            <wp:docPr descr="Description: C:\Users\hurstk\Pictures\TSBVIColorlogo.jpg" id="1" name="image1.jpg"/>
            <a:graphic>
              <a:graphicData uri="http://schemas.openxmlformats.org/drawingml/2006/picture">
                <pic:pic>
                  <pic:nvPicPr>
                    <pic:cNvPr descr="Description: C:\Users\hurstk\Pictures\TSBVIColor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20" w:before="120" w:lineRule="auto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www.tsbvi.edu</w:t>
        </w:r>
      </w:hyperlink>
      <w:r w:rsidDel="00000000" w:rsidR="00000000" w:rsidRPr="00000000">
        <w:rPr>
          <w:sz w:val="28"/>
          <w:szCs w:val="28"/>
          <w:rtl w:val="0"/>
        </w:rPr>
        <w:t xml:space="preserve"> | 512-454-8631| 1100 W. 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St. | Austin, Texas 78756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Coffee Hour: The Role of the TVI in Active Learning </w:t>
      </w:r>
    </w:p>
    <w:p w:rsidR="00000000" w:rsidDel="00000000" w:rsidP="00000000" w:rsidRDefault="00000000" w:rsidRPr="00000000" w14:paraId="00000006">
      <w:pPr>
        <w:pStyle w:val="Title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February 9th, 2026</w:t>
      </w:r>
    </w:p>
    <w:p w:rsidR="00000000" w:rsidDel="00000000" w:rsidP="00000000" w:rsidRDefault="00000000" w:rsidRPr="00000000" w14:paraId="00000007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Facilitated by</w:t>
      </w:r>
    </w:p>
    <w:p w:rsidR="00000000" w:rsidDel="00000000" w:rsidP="00000000" w:rsidRDefault="00000000" w:rsidRPr="00000000" w14:paraId="00000008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Sara Kitchen, VI Education Consultant, TSBVI Outreach,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kitchens@tsbvi.edu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rPr/>
      </w:pPr>
      <w:r w:rsidDel="00000000" w:rsidR="00000000" w:rsidRPr="00000000">
        <w:rPr>
          <w:rtl w:val="0"/>
        </w:rPr>
        <w:t xml:space="preserve">Scott Baltisberger, VI Education Consultant, TSBVI Outreach,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baltisbergers@tsbvi.edu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120" w:lineRule="auto"/>
        <w:rPr/>
      </w:pPr>
      <w:r w:rsidDel="00000000" w:rsidR="00000000" w:rsidRPr="00000000">
        <w:rPr>
          <w:rtl w:val="0"/>
        </w:rPr>
        <w:t xml:space="preserve">Why Active Learning?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Specifically developed for blind children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Based on child development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 be paired with other approaches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Holistic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56ce7xhcysbg" w:id="0"/>
      <w:bookmarkEnd w:id="0"/>
      <w:r w:rsidDel="00000000" w:rsidR="00000000" w:rsidRPr="00000000">
        <w:rPr>
          <w:rtl w:val="0"/>
        </w:rPr>
        <w:t xml:space="preserve">As an itinerant TVI, what challenges or successes have you experienced serving children with Complex Access Needs?  Please share in the chat!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before="120" w:lineRule="auto"/>
        <w:rPr/>
      </w:pPr>
      <w:r w:rsidDel="00000000" w:rsidR="00000000" w:rsidRPr="00000000">
        <w:rPr>
          <w:rtl w:val="0"/>
        </w:rPr>
        <w:t xml:space="preserve">The TVI’s Role is critical </w:t>
      </w:r>
    </w:p>
    <w:p w:rsidR="00000000" w:rsidDel="00000000" w:rsidP="00000000" w:rsidRDefault="00000000" w:rsidRPr="00000000" w14:paraId="00000014">
      <w:pPr>
        <w:pStyle w:val="Heading2"/>
        <w:ind w:left="0" w:firstLine="0"/>
        <w:rPr/>
      </w:pPr>
      <w:bookmarkStart w:colFirst="0" w:colLast="0" w:name="_qfqk2dqfl1to" w:id="1"/>
      <w:bookmarkEnd w:id="1"/>
      <w:r w:rsidDel="00000000" w:rsidR="00000000" w:rsidRPr="00000000">
        <w:rPr>
          <w:rtl w:val="0"/>
        </w:rPr>
        <w:t xml:space="preserve">TVI’s role is to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ensure access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understand and explain the impact of vision on development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accommodate for changing needs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“Vision is not the primary impairment”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The impact of combined disabilities is multiplicative, not additive.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- Lilli Nielsen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Sensory Efficiency is Access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Before they can use touch to learn, students have to learn how to use touch.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sensorimotor learner is not primarily auditory.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Students CAN learn to use touch and movement.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Lack of using touch and movement is NOT static.</w:t>
      </w:r>
    </w:p>
    <w:p w:rsidR="00000000" w:rsidDel="00000000" w:rsidP="00000000" w:rsidRDefault="00000000" w:rsidRPr="00000000" w14:paraId="00000022">
      <w:pPr>
        <w:pStyle w:val="Heading1"/>
        <w:spacing w:before="120" w:lineRule="auto"/>
        <w:rPr/>
      </w:pPr>
      <w:r w:rsidDel="00000000" w:rsidR="00000000" w:rsidRPr="00000000">
        <w:rPr>
          <w:rtl w:val="0"/>
        </w:rPr>
        <w:t xml:space="preserve">Challenges….and ways to meet them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mw74bfur3itc" w:id="2"/>
      <w:bookmarkEnd w:id="2"/>
      <w:r w:rsidDel="00000000" w:rsidR="00000000" w:rsidRPr="00000000">
        <w:rPr>
          <w:rtl w:val="0"/>
        </w:rPr>
        <w:t xml:space="preserve">Knowledge Challenge: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Limited experience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Limited knowledge about Active Learning</w:t>
      </w:r>
    </w:p>
    <w:p w:rsidR="00000000" w:rsidDel="00000000" w:rsidP="00000000" w:rsidRDefault="00000000" w:rsidRPr="00000000" w14:paraId="00000026">
      <w:pPr>
        <w:pStyle w:val="Heading3"/>
        <w:rPr>
          <w:sz w:val="26"/>
          <w:szCs w:val="26"/>
        </w:rPr>
      </w:pPr>
      <w:bookmarkStart w:colFirst="0" w:colLast="0" w:name="_fwcffanwk5v9" w:id="3"/>
      <w:bookmarkEnd w:id="3"/>
      <w:r w:rsidDel="00000000" w:rsidR="00000000" w:rsidRPr="00000000">
        <w:rPr>
          <w:sz w:val="26"/>
          <w:szCs w:val="26"/>
          <w:rtl w:val="0"/>
        </w:rPr>
        <w:t xml:space="preserve">Tools: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Educating ourselves 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Online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Training Modules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Support -ESCs  and/or TSBVI Outreach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Educating team members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Rylan Before &amp; After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Jack’s Progression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Getting Started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Active Learning Planning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80ev1ydnf7p2" w:id="4"/>
      <w:bookmarkEnd w:id="4"/>
      <w:r w:rsidDel="00000000" w:rsidR="00000000" w:rsidRPr="00000000">
        <w:rPr>
          <w:rtl w:val="0"/>
        </w:rPr>
        <w:t xml:space="preserve">Control Challenge: TVI has little oversight or control over the classroom: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Classroom staff is resistant or unenthusiastic.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Emphasis on TEKS/academics or functional skills.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system works “well enough”.</w:t>
      </w:r>
    </w:p>
    <w:p w:rsidR="00000000" w:rsidDel="00000000" w:rsidP="00000000" w:rsidRDefault="00000000" w:rsidRPr="00000000" w14:paraId="00000034">
      <w:pPr>
        <w:pStyle w:val="Heading3"/>
        <w:rPr>
          <w:sz w:val="26"/>
          <w:szCs w:val="26"/>
        </w:rPr>
      </w:pPr>
      <w:bookmarkStart w:colFirst="0" w:colLast="0" w:name="_2m07rhfr9gtw" w:id="5"/>
      <w:bookmarkEnd w:id="5"/>
      <w:r w:rsidDel="00000000" w:rsidR="00000000" w:rsidRPr="00000000">
        <w:rPr>
          <w:sz w:val="26"/>
          <w:szCs w:val="26"/>
          <w:rtl w:val="0"/>
        </w:rPr>
        <w:t xml:space="preserve">Tools: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Choose your battles: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 one or two classrooms OR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 one or two kids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8ff2ewfkibjb" w:id="6"/>
      <w:bookmarkEnd w:id="6"/>
      <w:r w:rsidDel="00000000" w:rsidR="00000000" w:rsidRPr="00000000">
        <w:rPr>
          <w:rtl w:val="0"/>
        </w:rPr>
        <w:t xml:space="preserve">Materials &amp; Space Challenge: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Lack of materials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Expense of materials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Lack of space</w:t>
      </w:r>
    </w:p>
    <w:p w:rsidR="00000000" w:rsidDel="00000000" w:rsidP="00000000" w:rsidRDefault="00000000" w:rsidRPr="00000000" w14:paraId="0000003D">
      <w:pPr>
        <w:pStyle w:val="Heading3"/>
        <w:rPr>
          <w:sz w:val="26"/>
          <w:szCs w:val="26"/>
        </w:rPr>
      </w:pPr>
      <w:bookmarkStart w:colFirst="0" w:colLast="0" w:name="_2rbll950froj" w:id="7"/>
      <w:bookmarkEnd w:id="7"/>
      <w:r w:rsidDel="00000000" w:rsidR="00000000" w:rsidRPr="00000000">
        <w:rPr>
          <w:sz w:val="26"/>
          <w:szCs w:val="26"/>
          <w:rtl w:val="0"/>
        </w:rPr>
        <w:t xml:space="preserve">Tools: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Library of AL equipment and/or materials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Donations: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Junk drawers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“Buy Nothing” groups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Things you can make</w:t>
        </w:r>
      </w:hyperlink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Education Service Center</w:t>
      </w:r>
    </w:p>
    <w:p w:rsidR="00000000" w:rsidDel="00000000" w:rsidP="00000000" w:rsidRDefault="00000000" w:rsidRPr="00000000" w14:paraId="00000044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TSBVI tech loan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qa59ko7puvqo" w:id="8"/>
      <w:bookmarkEnd w:id="8"/>
      <w:r w:rsidDel="00000000" w:rsidR="00000000" w:rsidRPr="00000000">
        <w:rPr>
          <w:rtl w:val="0"/>
        </w:rPr>
        <w:t xml:space="preserve">Fragmented Team Challenge: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Team is not working well together or disorganized.</w:t>
      </w:r>
    </w:p>
    <w:p w:rsidR="00000000" w:rsidDel="00000000" w:rsidP="00000000" w:rsidRDefault="00000000" w:rsidRPr="00000000" w14:paraId="00000048">
      <w:pPr>
        <w:pStyle w:val="Heading3"/>
        <w:rPr>
          <w:sz w:val="26"/>
          <w:szCs w:val="26"/>
        </w:rPr>
      </w:pPr>
      <w:bookmarkStart w:colFirst="0" w:colLast="0" w:name="_3xsgeedjrf3k" w:id="9"/>
      <w:bookmarkEnd w:id="9"/>
      <w:r w:rsidDel="00000000" w:rsidR="00000000" w:rsidRPr="00000000">
        <w:rPr>
          <w:sz w:val="26"/>
          <w:szCs w:val="26"/>
          <w:rtl w:val="0"/>
        </w:rPr>
        <w:t xml:space="preserve">Tools: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Active Learning Planning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Related Service &amp; Therapies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Administrators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rPr/>
      </w:pPr>
      <w:bookmarkStart w:colFirst="0" w:colLast="0" w:name="_vv4oq63z6imf" w:id="10"/>
      <w:bookmarkEnd w:id="10"/>
      <w:r w:rsidDel="00000000" w:rsidR="00000000" w:rsidRPr="00000000">
        <w:rPr>
          <w:rtl w:val="0"/>
        </w:rPr>
        <w:t xml:space="preserve">Final Words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1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Things don't change overnight, but rather through many small, incremental acts. 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diligent and keep your mind positive. You ARE helping.</w:t>
      </w:r>
      <w:r w:rsidDel="00000000" w:rsidR="00000000" w:rsidRPr="00000000">
        <w:rPr>
          <w:rtl w:val="0"/>
        </w:rPr>
      </w:r>
    </w:p>
    <w:sectPr>
      <w:footerReference r:id="rId19" w:type="default"/>
      <w:footerReference r:id="rId20" w:type="first"/>
      <w:footerReference r:id="rId21" w:type="even"/>
      <w:pgSz w:h="15840" w:w="12240" w:orient="portrait"/>
      <w:pgMar w:bottom="1008" w:top="100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–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–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»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–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–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»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lineRule="auto"/>
    </w:pPr>
    <w:rPr>
      <w:b w:val="1"/>
      <w:bCs w:val="1"/>
      <w:color w:val="632423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s://library.tsbvi.edu/Player/18398" TargetMode="External"/><Relationship Id="rId10" Type="http://schemas.openxmlformats.org/officeDocument/2006/relationships/hyperlink" Target="https://activelearningspace.org/resources/courses/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activelearningspace.org/program-planning/materials-and-activities-planning-sheet/" TargetMode="External"/><Relationship Id="rId12" Type="http://schemas.openxmlformats.org/officeDocument/2006/relationships/hyperlink" Target="https://library.tsbvi.edu/Player/1826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ltisbergers@tsbvi.edu" TargetMode="External"/><Relationship Id="rId15" Type="http://schemas.openxmlformats.org/officeDocument/2006/relationships/hyperlink" Target="https://www.tsbvi.edu/statewide-resources/services/tech-loan" TargetMode="External"/><Relationship Id="rId14" Type="http://schemas.openxmlformats.org/officeDocument/2006/relationships/hyperlink" Target="https://activelearningspace.org/equipment/things-you-can-make/" TargetMode="External"/><Relationship Id="rId17" Type="http://schemas.openxmlformats.org/officeDocument/2006/relationships/hyperlink" Target="https://activelearningspace.org/related-services-and-therapies/" TargetMode="External"/><Relationship Id="rId16" Type="http://schemas.openxmlformats.org/officeDocument/2006/relationships/hyperlink" Target="https://activelearningspace.org/program-planning/materials-and-activities-planning-sheet/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hyperlink" Target="https://activelearningspace.org/administrators/" TargetMode="External"/><Relationship Id="rId7" Type="http://schemas.openxmlformats.org/officeDocument/2006/relationships/hyperlink" Target="http://www.tsbvi.edu" TargetMode="External"/><Relationship Id="rId8" Type="http://schemas.openxmlformats.org/officeDocument/2006/relationships/hyperlink" Target="mailto:kitchens@tsbv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