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ook w:val="04A0" w:firstRow="1" w:lastRow="0" w:firstColumn="1" w:lastColumn="0" w:noHBand="0" w:noVBand="1"/>
      </w:tblPr>
      <w:tblGrid>
        <w:gridCol w:w="1844"/>
        <w:gridCol w:w="8884"/>
      </w:tblGrid>
      <w:tr w:rsidR="00C17989" w:rsidRPr="005E232F" w:rsidTr="00552217">
        <w:trPr>
          <w:trHeight w:val="2016"/>
        </w:trPr>
        <w:tc>
          <w:tcPr>
            <w:tcW w:w="1836" w:type="dxa"/>
            <w:shd w:val="clear" w:color="auto" w:fill="auto"/>
          </w:tcPr>
          <w:p w:rsidR="00C17989" w:rsidRPr="0042493B" w:rsidRDefault="00C17989" w:rsidP="00552217">
            <w:pPr>
              <w:pStyle w:val="LetterheadLevel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FB461" wp14:editId="6987AAE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1252220</wp:posOffset>
                      </wp:positionV>
                      <wp:extent cx="6819900" cy="0"/>
                      <wp:effectExtent l="26670" t="23495" r="20955" b="2413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86171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C87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-6.15pt;margin-top:98.6pt;width:53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" strokecolor="#861714" strokeweight="3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4B44C91" wp14:editId="63EA18B0">
                  <wp:extent cx="1033780" cy="914400"/>
                  <wp:effectExtent l="0" t="0" r="0" b="0"/>
                  <wp:docPr id="1" name="Picture 1" descr="TSBVILogoScal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SBVILogoScal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shd w:val="clear" w:color="auto" w:fill="auto"/>
          </w:tcPr>
          <w:p w:rsidR="00C17989" w:rsidRPr="005E232F" w:rsidRDefault="00C17989" w:rsidP="00552217">
            <w:pPr>
              <w:pStyle w:val="LetterheadLevel2"/>
              <w:rPr>
                <w:sz w:val="40"/>
                <w:szCs w:val="40"/>
              </w:rPr>
            </w:pPr>
            <w:r w:rsidRPr="005E232F">
              <w:rPr>
                <w:sz w:val="40"/>
                <w:szCs w:val="40"/>
              </w:rPr>
              <w:t>Texas School for the Blind and Visually Impaired</w:t>
            </w:r>
          </w:p>
          <w:p w:rsidR="00C17989" w:rsidRDefault="00C17989" w:rsidP="00552217">
            <w:pPr>
              <w:pStyle w:val="LetterheadLevel2"/>
            </w:pPr>
            <w:r w:rsidRPr="0042493B">
              <w:t>Outreach Programs</w:t>
            </w:r>
          </w:p>
          <w:p w:rsidR="00C17989" w:rsidRPr="0042493B" w:rsidRDefault="0012228D" w:rsidP="00552217">
            <w:pPr>
              <w:pStyle w:val="LetterheadLevel2"/>
            </w:pPr>
            <w:hyperlink r:id="rId6" w:history="1">
              <w:r w:rsidR="00C17989" w:rsidRPr="005E232F">
                <w:rPr>
                  <w:rStyle w:val="Hyperlink"/>
                  <w:sz w:val="28"/>
                  <w:szCs w:val="28"/>
                </w:rPr>
                <w:t>www.tsbvi.edu</w:t>
              </w:r>
            </w:hyperlink>
            <w:r w:rsidR="00C17989" w:rsidRPr="005E232F">
              <w:rPr>
                <w:sz w:val="28"/>
                <w:szCs w:val="28"/>
              </w:rPr>
              <w:t xml:space="preserve"> | 512-454-8631 | 1100 W. 45</w:t>
            </w:r>
            <w:r w:rsidR="00C17989" w:rsidRPr="005E232F">
              <w:rPr>
                <w:sz w:val="28"/>
                <w:szCs w:val="28"/>
                <w:vertAlign w:val="superscript"/>
              </w:rPr>
              <w:t>th</w:t>
            </w:r>
            <w:r w:rsidR="00C17989">
              <w:rPr>
                <w:sz w:val="28"/>
                <w:szCs w:val="28"/>
              </w:rPr>
              <w:t xml:space="preserve"> St. | Austin, TX</w:t>
            </w:r>
            <w:r w:rsidR="00C17989" w:rsidRPr="005E232F">
              <w:rPr>
                <w:sz w:val="28"/>
                <w:szCs w:val="28"/>
              </w:rPr>
              <w:t xml:space="preserve"> 78756</w:t>
            </w:r>
          </w:p>
        </w:tc>
      </w:tr>
    </w:tbl>
    <w:p w:rsidR="00552217" w:rsidRDefault="00552217"/>
    <w:p w:rsidR="00C17989" w:rsidRDefault="00C17989"/>
    <w:p w:rsidR="0033756F" w:rsidRPr="00325782" w:rsidRDefault="0033756F" w:rsidP="0033756F">
      <w:pPr>
        <w:spacing w:line="276" w:lineRule="auto"/>
        <w:jc w:val="center"/>
      </w:pPr>
      <w:r w:rsidRPr="00325782">
        <w:t>Texas School for the Blind &amp; Visually Impaired Outreach Programs Presents</w:t>
      </w:r>
    </w:p>
    <w:p w:rsidR="0033756F" w:rsidRDefault="0033756F" w:rsidP="0033756F">
      <w:pPr>
        <w:spacing w:line="276" w:lineRule="auto"/>
        <w:jc w:val="center"/>
        <w:rPr>
          <w:b/>
          <w:bCs/>
        </w:rPr>
      </w:pPr>
      <w:r w:rsidRPr="00325782">
        <w:rPr>
          <w:b/>
          <w:bCs/>
        </w:rPr>
        <w:t>General Considerations for Supporting Students who are Deafblind and Proficient Communicators</w:t>
      </w:r>
    </w:p>
    <w:p w:rsidR="0033756F" w:rsidRPr="00325782" w:rsidRDefault="0033756F" w:rsidP="0033756F">
      <w:pPr>
        <w:spacing w:line="276" w:lineRule="auto"/>
        <w:jc w:val="center"/>
      </w:pPr>
    </w:p>
    <w:p w:rsidR="0033756F" w:rsidRPr="00325782" w:rsidRDefault="0033756F" w:rsidP="0033756F">
      <w:pPr>
        <w:spacing w:line="276" w:lineRule="auto"/>
        <w:jc w:val="center"/>
      </w:pPr>
      <w:r w:rsidRPr="00325782">
        <w:t>Presented by:</w:t>
      </w:r>
    </w:p>
    <w:p w:rsidR="0033756F" w:rsidRPr="0033756F" w:rsidRDefault="0033756F" w:rsidP="0033756F">
      <w:pPr>
        <w:spacing w:line="276" w:lineRule="auto"/>
        <w:jc w:val="center"/>
        <w:rPr>
          <w:b/>
        </w:rPr>
      </w:pPr>
      <w:r w:rsidRPr="0033756F">
        <w:rPr>
          <w:b/>
        </w:rPr>
        <w:t>Kaycee Bennett</w:t>
      </w:r>
    </w:p>
    <w:p w:rsidR="0033756F" w:rsidRPr="00325782" w:rsidRDefault="0033756F" w:rsidP="0033756F">
      <w:pPr>
        <w:spacing w:line="276" w:lineRule="auto"/>
        <w:jc w:val="center"/>
      </w:pPr>
      <w:r w:rsidRPr="00325782">
        <w:t>Education Consultant</w:t>
      </w:r>
    </w:p>
    <w:p w:rsidR="0033756F" w:rsidRPr="00325782" w:rsidRDefault="0033756F" w:rsidP="0033756F">
      <w:pPr>
        <w:spacing w:line="276" w:lineRule="auto"/>
        <w:jc w:val="center"/>
      </w:pPr>
      <w:r w:rsidRPr="00325782">
        <w:t>Texas Deafblind Project</w:t>
      </w:r>
    </w:p>
    <w:p w:rsidR="0033756F" w:rsidRPr="00325782" w:rsidRDefault="0012228D" w:rsidP="0033756F">
      <w:pPr>
        <w:spacing w:line="276" w:lineRule="auto"/>
        <w:jc w:val="center"/>
      </w:pPr>
      <w:hyperlink r:id="rId7" w:history="1">
        <w:r w:rsidR="0033756F" w:rsidRPr="00325782">
          <w:rPr>
            <w:rStyle w:val="Hyperlink"/>
          </w:rPr>
          <w:t>bennettk@tsbvi.edu</w:t>
        </w:r>
      </w:hyperlink>
    </w:p>
    <w:p w:rsidR="0033756F" w:rsidRPr="0033756F" w:rsidRDefault="0033756F" w:rsidP="0033756F">
      <w:pPr>
        <w:spacing w:line="276" w:lineRule="auto"/>
        <w:jc w:val="center"/>
        <w:rPr>
          <w:b/>
        </w:rPr>
      </w:pPr>
      <w:r w:rsidRPr="0033756F">
        <w:rPr>
          <w:b/>
        </w:rPr>
        <w:t>Deanna Peterson</w:t>
      </w:r>
    </w:p>
    <w:p w:rsidR="0033756F" w:rsidRPr="00325782" w:rsidRDefault="0033756F" w:rsidP="0033756F">
      <w:pPr>
        <w:spacing w:line="276" w:lineRule="auto"/>
        <w:jc w:val="center"/>
      </w:pPr>
      <w:r w:rsidRPr="00325782">
        <w:t>Early Childhood Consultant</w:t>
      </w:r>
    </w:p>
    <w:p w:rsidR="0033756F" w:rsidRPr="00325782" w:rsidRDefault="0033756F" w:rsidP="0033756F">
      <w:pPr>
        <w:spacing w:line="276" w:lineRule="auto"/>
        <w:jc w:val="center"/>
      </w:pPr>
      <w:r w:rsidRPr="00325782">
        <w:t>Texas Deafblind Project</w:t>
      </w:r>
    </w:p>
    <w:p w:rsidR="0033756F" w:rsidRPr="00325782" w:rsidRDefault="0012228D" w:rsidP="0033756F">
      <w:pPr>
        <w:spacing w:line="276" w:lineRule="auto"/>
        <w:jc w:val="center"/>
      </w:pPr>
      <w:hyperlink r:id="rId8" w:history="1">
        <w:r w:rsidR="0033756F" w:rsidRPr="00325782">
          <w:rPr>
            <w:rStyle w:val="Hyperlink"/>
          </w:rPr>
          <w:t>petersond@tsbvi.edu</w:t>
        </w:r>
      </w:hyperlink>
    </w:p>
    <w:p w:rsidR="0033756F" w:rsidRPr="00325782" w:rsidRDefault="00364AB6" w:rsidP="0033756F">
      <w:pPr>
        <w:pStyle w:val="Heading2"/>
      </w:pPr>
      <w:r>
        <w:t>Proficient Communicators</w:t>
      </w:r>
    </w:p>
    <w:p w:rsidR="00364AB6" w:rsidRDefault="00364AB6" w:rsidP="00364AB6">
      <w:r>
        <w:t xml:space="preserve">Currently, we are seeing an increase in congenitally deafblind students who are </w:t>
      </w:r>
      <w:r>
        <w:rPr>
          <w:b/>
          <w:bCs/>
        </w:rPr>
        <w:t>proficient communicators</w:t>
      </w:r>
      <w:r>
        <w:t>.</w:t>
      </w:r>
    </w:p>
    <w:p w:rsidR="00364AB6" w:rsidRDefault="00364AB6" w:rsidP="00364AB6"/>
    <w:p w:rsidR="00364AB6" w:rsidRDefault="00364AB6" w:rsidP="00364AB6">
      <w:pPr>
        <w:pStyle w:val="Heading2"/>
      </w:pPr>
      <w:r>
        <w:t>Who are Proficient Communicators?</w:t>
      </w:r>
    </w:p>
    <w:p w:rsidR="00364AB6" w:rsidRDefault="00364AB6" w:rsidP="00364AB6">
      <w:pPr>
        <w:rPr>
          <w:rFonts w:ascii="Times New Roman" w:eastAsia="Times New Roman" w:hAnsi="Times New Roman"/>
        </w:rPr>
      </w:pPr>
      <w:r>
        <w:t>Elements:</w:t>
      </w:r>
    </w:p>
    <w:p w:rsidR="00364AB6" w:rsidRPr="00364AB6" w:rsidRDefault="00364AB6" w:rsidP="00364AB6">
      <w:pPr>
        <w:rPr>
          <w:rFonts w:cs="Arial"/>
          <w:sz w:val="36"/>
          <w:szCs w:val="36"/>
        </w:rPr>
      </w:pPr>
      <w:r>
        <w:t>Language/communication</w:t>
      </w:r>
    </w:p>
    <w:p w:rsidR="00364AB6" w:rsidRPr="00364AB6" w:rsidRDefault="00364AB6" w:rsidP="00364AB6">
      <w:pPr>
        <w:rPr>
          <w:rFonts w:cs="Arial"/>
          <w:sz w:val="36"/>
          <w:szCs w:val="36"/>
        </w:rPr>
      </w:pPr>
      <w:r>
        <w:t>Intellectual ability</w:t>
      </w:r>
    </w:p>
    <w:p w:rsidR="00364AB6" w:rsidRPr="00364AB6" w:rsidRDefault="00364AB6" w:rsidP="00364AB6">
      <w:pPr>
        <w:rPr>
          <w:rFonts w:cs="Arial"/>
          <w:sz w:val="36"/>
          <w:szCs w:val="36"/>
        </w:rPr>
      </w:pPr>
      <w:r>
        <w:t>Curriculum used with the learner</w:t>
      </w:r>
    </w:p>
    <w:p w:rsidR="00364AB6" w:rsidRPr="00364AB6" w:rsidRDefault="00364AB6" w:rsidP="00364AB6">
      <w:pPr>
        <w:rPr>
          <w:rFonts w:cs="Arial"/>
          <w:sz w:val="36"/>
          <w:szCs w:val="36"/>
        </w:rPr>
      </w:pPr>
      <w:r>
        <w:t>State testing on state adopted curriculum</w:t>
      </w:r>
    </w:p>
    <w:p w:rsidR="00364AB6" w:rsidRPr="00364AB6" w:rsidRDefault="00364AB6" w:rsidP="00364AB6">
      <w:pPr>
        <w:rPr>
          <w:rFonts w:cs="Arial"/>
          <w:sz w:val="36"/>
          <w:szCs w:val="36"/>
        </w:rPr>
      </w:pPr>
      <w:r>
        <w:t>Diploma track and transition trajectory</w:t>
      </w:r>
    </w:p>
    <w:p w:rsidR="00364AB6" w:rsidRPr="00364AB6" w:rsidRDefault="00364AB6" w:rsidP="00364AB6">
      <w:pPr>
        <w:rPr>
          <w:rFonts w:cs="Arial"/>
          <w:sz w:val="36"/>
          <w:szCs w:val="36"/>
        </w:rPr>
      </w:pPr>
      <w:r>
        <w:t>Socia</w:t>
      </w:r>
      <w:r>
        <w:t>l</w:t>
      </w:r>
    </w:p>
    <w:p w:rsidR="00364AB6" w:rsidRPr="00364AB6" w:rsidRDefault="00364AB6" w:rsidP="00364AB6"/>
    <w:p w:rsidR="0033756F" w:rsidRDefault="00F17DAC" w:rsidP="0033756F">
      <w:pPr>
        <w:pStyle w:val="Heading2"/>
      </w:pPr>
      <w:r>
        <w:t>Poll Question (if attending live)</w:t>
      </w:r>
    </w:p>
    <w:p w:rsidR="00F17DAC" w:rsidRPr="00F17DAC" w:rsidRDefault="00F17DAC" w:rsidP="00F17DAC">
      <w:r>
        <w:rPr>
          <w:noProof/>
        </w:rPr>
        <w:drawing>
          <wp:inline distT="0" distB="0" distL="0" distR="0">
            <wp:extent cx="1193470" cy="1193470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for poll question PC C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3852" cy="121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56F" w:rsidRDefault="0033756F" w:rsidP="0033756F">
      <w:pPr>
        <w:spacing w:line="276" w:lineRule="auto"/>
      </w:pPr>
      <w:bookmarkStart w:id="0" w:name="_GoBack"/>
      <w:bookmarkEnd w:id="0"/>
    </w:p>
    <w:p w:rsidR="0033756F" w:rsidRPr="00325782" w:rsidRDefault="0033756F" w:rsidP="0033756F">
      <w:pPr>
        <w:pStyle w:val="Heading2"/>
      </w:pPr>
      <w:r w:rsidRPr="00325782">
        <w:t>2021 Texas Deafblind Child Count = 804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423 students STAAR tested</w:t>
      </w:r>
    </w:p>
    <w:p w:rsidR="0033756F" w:rsidRPr="00325782" w:rsidRDefault="0033756F" w:rsidP="0033756F">
      <w:pPr>
        <w:spacing w:line="276" w:lineRule="auto"/>
      </w:pPr>
      <w:r w:rsidRPr="00325782">
        <w:lastRenderedPageBreak/>
        <w:t>•Regular State Testing w/wo accommodations =130</w:t>
      </w:r>
    </w:p>
    <w:p w:rsidR="0033756F" w:rsidRPr="00325782" w:rsidRDefault="0033756F" w:rsidP="0033756F">
      <w:pPr>
        <w:spacing w:line="276" w:lineRule="auto"/>
      </w:pPr>
      <w:r w:rsidRPr="00325782">
        <w:t>•School for the Deaf/School for the Blind=7</w:t>
      </w:r>
    </w:p>
    <w:p w:rsidR="0033756F" w:rsidRPr="00325782" w:rsidRDefault="0033756F" w:rsidP="0033756F">
      <w:pPr>
        <w:spacing w:line="276" w:lineRule="auto"/>
      </w:pPr>
      <w:r w:rsidRPr="00325782">
        <w:t>•Served by Regional Day Programs for the Deaf=63</w:t>
      </w:r>
    </w:p>
    <w:p w:rsidR="0033756F" w:rsidRPr="00325782" w:rsidRDefault="0033756F" w:rsidP="0033756F">
      <w:pPr>
        <w:spacing w:line="276" w:lineRule="auto"/>
      </w:pPr>
      <w:r w:rsidRPr="00325782">
        <w:t>•In the regular education classroom 80% = 81</w:t>
      </w:r>
    </w:p>
    <w:p w:rsidR="0033756F" w:rsidRPr="00325782" w:rsidRDefault="0033756F" w:rsidP="0033756F">
      <w:pPr>
        <w:spacing w:line="276" w:lineRule="auto"/>
      </w:pPr>
      <w:r w:rsidRPr="00325782">
        <w:t>•In the regular education classroom 40-79%=22</w:t>
      </w:r>
    </w:p>
    <w:p w:rsidR="0033756F" w:rsidRDefault="0033756F" w:rsidP="0033756F">
      <w:pPr>
        <w:pStyle w:val="Heading2"/>
      </w:pPr>
    </w:p>
    <w:p w:rsidR="0033756F" w:rsidRPr="00325782" w:rsidRDefault="0033756F" w:rsidP="0033756F">
      <w:pPr>
        <w:pStyle w:val="Heading2"/>
      </w:pPr>
      <w:r w:rsidRPr="00325782">
        <w:t xml:space="preserve">Texas Deafblind </w:t>
      </w:r>
      <w:r w:rsidR="008D2D9D">
        <w:t>Child C</w:t>
      </w:r>
      <w:r w:rsidR="008D2D9D" w:rsidRPr="00325782">
        <w:t>ount</w:t>
      </w:r>
    </w:p>
    <w:p w:rsidR="0033756F" w:rsidRPr="00325782" w:rsidRDefault="0033756F" w:rsidP="0033756F">
      <w:r w:rsidRPr="00325782">
        <w:rPr>
          <w:b/>
          <w:bCs/>
        </w:rPr>
        <w:t>Of the 130 students:</w:t>
      </w:r>
    </w:p>
    <w:p w:rsidR="0033756F" w:rsidRPr="00325782" w:rsidRDefault="0033756F" w:rsidP="0033756F">
      <w:pPr>
        <w:spacing w:line="276" w:lineRule="auto"/>
      </w:pPr>
      <w:r w:rsidRPr="00325782">
        <w:t>•Cochlear Implants=23</w:t>
      </w:r>
    </w:p>
    <w:p w:rsidR="0033756F" w:rsidRPr="00325782" w:rsidRDefault="0033756F" w:rsidP="0033756F">
      <w:pPr>
        <w:spacing w:line="276" w:lineRule="auto"/>
      </w:pPr>
      <w:r w:rsidRPr="00325782">
        <w:t>•Interveners= 15 (none certified)</w:t>
      </w:r>
    </w:p>
    <w:p w:rsidR="0033756F" w:rsidRPr="00325782" w:rsidRDefault="0033756F" w:rsidP="0033756F">
      <w:pPr>
        <w:spacing w:line="276" w:lineRule="auto"/>
      </w:pPr>
      <w:r w:rsidRPr="00325782">
        <w:t>•CHARGE Syndrome=11</w:t>
      </w:r>
    </w:p>
    <w:p w:rsidR="0033756F" w:rsidRPr="00325782" w:rsidRDefault="0033756F" w:rsidP="0033756F">
      <w:pPr>
        <w:spacing w:line="276" w:lineRule="auto"/>
      </w:pPr>
      <w:r w:rsidRPr="00325782">
        <w:t>•Usher Syndrome=18</w:t>
      </w:r>
    </w:p>
    <w:p w:rsidR="0033756F" w:rsidRDefault="0033756F" w:rsidP="0033756F">
      <w:pPr>
        <w:pStyle w:val="Heading2"/>
      </w:pPr>
    </w:p>
    <w:p w:rsidR="0033756F" w:rsidRPr="00325782" w:rsidRDefault="0033756F" w:rsidP="0033756F">
      <w:pPr>
        <w:pStyle w:val="Heading2"/>
      </w:pPr>
      <w:r w:rsidRPr="00325782">
        <w:t>Proficient Communicators</w:t>
      </w:r>
    </w:p>
    <w:p w:rsidR="0033756F" w:rsidRPr="00325782" w:rsidRDefault="0033756F" w:rsidP="0033756F">
      <w:pPr>
        <w:numPr>
          <w:ilvl w:val="0"/>
          <w:numId w:val="9"/>
        </w:numPr>
        <w:spacing w:line="276" w:lineRule="auto"/>
      </w:pPr>
      <w:r w:rsidRPr="00325782">
        <w:t>Are faced with some of the same underlying problems as emerging communicators.</w:t>
      </w:r>
    </w:p>
    <w:p w:rsidR="0033756F" w:rsidRPr="00325782" w:rsidRDefault="0033756F" w:rsidP="0033756F">
      <w:pPr>
        <w:numPr>
          <w:ilvl w:val="0"/>
          <w:numId w:val="9"/>
        </w:numPr>
        <w:spacing w:line="276" w:lineRule="auto"/>
      </w:pPr>
      <w:r w:rsidRPr="00325782">
        <w:t>Problems with gathering important incidental information that can lead to missing or incorrect key concepts as they grow up.</w:t>
      </w:r>
    </w:p>
    <w:p w:rsidR="0033756F" w:rsidRPr="00325782" w:rsidRDefault="0033756F" w:rsidP="0033756F">
      <w:pPr>
        <w:numPr>
          <w:ilvl w:val="0"/>
          <w:numId w:val="9"/>
        </w:numPr>
        <w:spacing w:line="276" w:lineRule="auto"/>
      </w:pPr>
      <w:r w:rsidRPr="00325782">
        <w:t>Additional time is required to gather information, process and respond.</w:t>
      </w:r>
    </w:p>
    <w:p w:rsidR="0033756F" w:rsidRDefault="0033756F" w:rsidP="0033756F">
      <w:pPr>
        <w:pStyle w:val="Heading2"/>
      </w:pPr>
    </w:p>
    <w:p w:rsidR="0033756F" w:rsidRPr="00325782" w:rsidRDefault="0033756F" w:rsidP="0033756F">
      <w:pPr>
        <w:pStyle w:val="Heading2"/>
      </w:pPr>
      <w:r w:rsidRPr="00325782">
        <w:t>Gathering Common Needs</w:t>
      </w:r>
    </w:p>
    <w:p w:rsidR="0033756F" w:rsidRPr="00325782" w:rsidRDefault="0033756F" w:rsidP="0033756F">
      <w:pPr>
        <w:spacing w:line="276" w:lineRule="auto"/>
      </w:pPr>
      <w:r w:rsidRPr="00325782">
        <w:t xml:space="preserve">Over time and across multiple on sites, our Project compiled a list of 12 specific recurring needs. </w:t>
      </w:r>
    </w:p>
    <w:p w:rsidR="0033756F" w:rsidRDefault="0033756F" w:rsidP="0033756F">
      <w:pPr>
        <w:pStyle w:val="Heading2"/>
      </w:pPr>
    </w:p>
    <w:p w:rsidR="0033756F" w:rsidRPr="00325782" w:rsidRDefault="0033756F" w:rsidP="0033756F">
      <w:pPr>
        <w:pStyle w:val="Heading2"/>
      </w:pPr>
      <w:r w:rsidRPr="00325782">
        <w:t>How do proficient communicators fit in the federal definition?</w:t>
      </w:r>
    </w:p>
    <w:p w:rsidR="0033756F" w:rsidRPr="00325782" w:rsidRDefault="0033756F" w:rsidP="0033756F">
      <w:pPr>
        <w:numPr>
          <w:ilvl w:val="0"/>
          <w:numId w:val="10"/>
        </w:numPr>
        <w:spacing w:line="276" w:lineRule="auto"/>
      </w:pPr>
      <w:r w:rsidRPr="00325782">
        <w:t xml:space="preserve">Federal Definition again- “Deaf-blindness means concomitant hearing and visual impairments, the combination of which causes such severe communication and other developmental and educational </w:t>
      </w:r>
      <w:r w:rsidRPr="00325782">
        <w:rPr>
          <w:b/>
          <w:bCs/>
        </w:rPr>
        <w:t>needs that they [the children] cannot be accommodated in special education programs designed solely for children with deafness or children with blindness</w:t>
      </w:r>
      <w:r w:rsidRPr="00325782">
        <w:t xml:space="preserve"> (</w:t>
      </w:r>
      <w:hyperlink r:id="rId10" w:history="1">
        <w:r w:rsidRPr="00325782">
          <w:rPr>
            <w:rStyle w:val="Hyperlink"/>
          </w:rPr>
          <w:t>34CFR, Part 300, Subpart A, 300.7 (c)(2)</w:t>
        </w:r>
      </w:hyperlink>
      <w:r w:rsidRPr="00325782">
        <w:t>)”</w:t>
      </w:r>
    </w:p>
    <w:p w:rsidR="0033756F" w:rsidRPr="00325782" w:rsidRDefault="0033756F" w:rsidP="0033756F">
      <w:pPr>
        <w:numPr>
          <w:ilvl w:val="0"/>
          <w:numId w:val="10"/>
        </w:numPr>
        <w:spacing w:line="276" w:lineRule="auto"/>
      </w:pPr>
      <w:r w:rsidRPr="00325782">
        <w:t>This means there is a need for specialized instruction that is unique to their dual sensory impairment. What does that look like?</w:t>
      </w:r>
    </w:p>
    <w:p w:rsidR="0033756F" w:rsidRPr="00325782" w:rsidRDefault="0033756F" w:rsidP="0033756F">
      <w:pPr>
        <w:pStyle w:val="Heading2"/>
      </w:pPr>
      <w:r w:rsidRPr="00325782">
        <w:t>12 Considerations for Specialized Instruction for Proficient Communicators</w:t>
      </w:r>
    </w:p>
    <w:p w:rsidR="0033756F" w:rsidRDefault="0033756F" w:rsidP="0033756F">
      <w:pPr>
        <w:pStyle w:val="Heading2"/>
      </w:pPr>
    </w:p>
    <w:p w:rsidR="0033756F" w:rsidRPr="00325782" w:rsidRDefault="0033756F" w:rsidP="0033756F">
      <w:pPr>
        <w:pStyle w:val="Heading2"/>
        <w:numPr>
          <w:ilvl w:val="0"/>
          <w:numId w:val="12"/>
        </w:numPr>
      </w:pPr>
      <w:r w:rsidRPr="00325782">
        <w:t>Concepts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 xml:space="preserve">Address </w:t>
      </w:r>
      <w:r w:rsidRPr="00325782">
        <w:rPr>
          <w:b/>
          <w:bCs/>
          <w:i/>
          <w:iCs/>
        </w:rPr>
        <w:t>Requisite Concept</w:t>
      </w:r>
      <w:r w:rsidRPr="00325782">
        <w:rPr>
          <w:b/>
          <w:bCs/>
        </w:rPr>
        <w:t xml:space="preserve"> (foundational concept) Development through assessment and instruction.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2. Modify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Modify the curricular content; Develop standards based IEP in core subjects.</w:t>
      </w:r>
      <w:r w:rsidRPr="00325782">
        <w:t xml:space="preserve"> </w:t>
      </w:r>
    </w:p>
    <w:p w:rsidR="0033756F" w:rsidRDefault="0033756F" w:rsidP="0033756F">
      <w:pPr>
        <w:pStyle w:val="Heading2"/>
      </w:pPr>
    </w:p>
    <w:p w:rsidR="0033756F" w:rsidRPr="00325782" w:rsidRDefault="0033756F" w:rsidP="0033756F">
      <w:pPr>
        <w:pStyle w:val="Heading2"/>
      </w:pPr>
      <w:r w:rsidRPr="00325782">
        <w:t xml:space="preserve">3. Comprehension Checks 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Define comprehension check and include an individualized description in the student’s accommodations.</w:t>
      </w:r>
    </w:p>
    <w:p w:rsidR="0033756F" w:rsidRDefault="0033756F" w:rsidP="0033756F">
      <w:pPr>
        <w:pStyle w:val="Heading2"/>
      </w:pPr>
    </w:p>
    <w:p w:rsidR="0033756F" w:rsidRPr="00325782" w:rsidRDefault="0033756F" w:rsidP="0033756F">
      <w:pPr>
        <w:pStyle w:val="Heading2"/>
      </w:pPr>
      <w:r w:rsidRPr="00325782">
        <w:t>4. Time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Build time into the day to intervene; add an elective or time in a resource classroom.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5. Adapt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 xml:space="preserve">Apply adaptations and modifications to homework assignments; shorten, provide additional time, allow oral responses. Consider assigning alternative projects, and/or reducing or eliminating homework. 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6. Technology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Consider student’s technology needs. Develop a technology plan in the ARD minutes or deliberations.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7. Stress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Monitor indications of stress. Consider counseling to support the student with stress management.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 xml:space="preserve">8. </w:t>
      </w:r>
      <w:r w:rsidRPr="008D2D9D">
        <w:rPr>
          <w:strike/>
        </w:rPr>
        <w:t>Behavior</w:t>
      </w:r>
      <w:r w:rsidRPr="00325782">
        <w:t xml:space="preserve"> </w:t>
      </w:r>
      <w:r w:rsidRPr="00325782">
        <w:rPr>
          <w:i/>
          <w:iCs/>
        </w:rPr>
        <w:t>Distress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 xml:space="preserve">Consider the impact of </w:t>
      </w:r>
      <w:r w:rsidR="00DA22F1">
        <w:rPr>
          <w:b/>
          <w:bCs/>
        </w:rPr>
        <w:t>being deafblind</w:t>
      </w:r>
      <w:r w:rsidRPr="00325782">
        <w:rPr>
          <w:b/>
          <w:bCs/>
        </w:rPr>
        <w:t xml:space="preserve"> on behavioral issues.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9. Social Skills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 xml:space="preserve">Consider the unique social skills needed for a student </w:t>
      </w:r>
      <w:r w:rsidR="00DA22F1">
        <w:rPr>
          <w:b/>
          <w:bCs/>
        </w:rPr>
        <w:t>who is deafblind</w:t>
      </w:r>
      <w:r w:rsidRPr="00325782">
        <w:rPr>
          <w:b/>
          <w:bCs/>
        </w:rPr>
        <w:t>, include these in the IEP and provide direct instruction.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10. Self-Advocacy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Consider the unique skills needed in self-advocacy for a student who is deafblind, include these in the IEP, and provide direct instruction.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11. Transition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Consider the unique transition needs of a student who is deafblind and include these in the IEP.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>12. Supplemental Services</w:t>
      </w:r>
    </w:p>
    <w:p w:rsidR="0033756F" w:rsidRPr="00325782" w:rsidRDefault="0033756F" w:rsidP="0033756F">
      <w:pPr>
        <w:spacing w:line="276" w:lineRule="auto"/>
      </w:pPr>
      <w:r w:rsidRPr="00325782">
        <w:rPr>
          <w:b/>
          <w:bCs/>
        </w:rPr>
        <w:t>The discussion for supplemental needs and services considers the need for additional resources, training and/or staff to provide in-class support (Intervener, additional interpreter etc.).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t xml:space="preserve">Join our </w:t>
      </w:r>
      <w:proofErr w:type="spellStart"/>
      <w:r w:rsidRPr="00325782">
        <w:t>ListServ</w:t>
      </w:r>
      <w:proofErr w:type="spellEnd"/>
      <w:r w:rsidRPr="00325782">
        <w:t>!</w:t>
      </w:r>
    </w:p>
    <w:p w:rsidR="0033756F" w:rsidRPr="00325782" w:rsidRDefault="0033756F" w:rsidP="0033756F">
      <w:pPr>
        <w:spacing w:line="276" w:lineRule="auto"/>
      </w:pPr>
      <w:r w:rsidRPr="00325782">
        <w:t>https://docs.google.com/forms/d/e/1FAIpQLScY-npMXKoToKo_wHpZCSI_Kp7D52NKsTvX9JhcRQ1AD6Av3w/viewform?usp=sf_link</w:t>
      </w:r>
    </w:p>
    <w:p w:rsidR="0033756F" w:rsidRDefault="0033756F" w:rsidP="0033756F">
      <w:pPr>
        <w:spacing w:line="276" w:lineRule="auto"/>
      </w:pPr>
    </w:p>
    <w:p w:rsidR="0033756F" w:rsidRPr="00325782" w:rsidRDefault="0033756F" w:rsidP="0033756F">
      <w:pPr>
        <w:pStyle w:val="Heading2"/>
      </w:pPr>
      <w:r w:rsidRPr="00325782">
        <w:lastRenderedPageBreak/>
        <w:t>References and Resources</w:t>
      </w:r>
    </w:p>
    <w:p w:rsidR="0033756F" w:rsidRPr="00325782" w:rsidRDefault="0033756F" w:rsidP="0033756F">
      <w:pPr>
        <w:spacing w:line="276" w:lineRule="auto"/>
      </w:pPr>
      <w:r w:rsidRPr="00325782">
        <w:t xml:space="preserve">Texas Deafblind Project. </w:t>
      </w:r>
      <w:hyperlink r:id="rId11" w:history="1">
        <w:r w:rsidRPr="00325782">
          <w:rPr>
            <w:rStyle w:val="Hyperlink"/>
          </w:rPr>
          <w:t>txdeafblindproject.org</w:t>
        </w:r>
      </w:hyperlink>
    </w:p>
    <w:p w:rsidR="0033756F" w:rsidRPr="00325782" w:rsidRDefault="0033756F" w:rsidP="0033756F">
      <w:pPr>
        <w:spacing w:line="276" w:lineRule="auto"/>
      </w:pPr>
      <w:r w:rsidRPr="00325782">
        <w:t xml:space="preserve">Lace, Jenny (2015). Minimal Losses...Major </w:t>
      </w:r>
      <w:proofErr w:type="gramStart"/>
      <w:r w:rsidRPr="00325782">
        <w:t>Implications .</w:t>
      </w:r>
      <w:proofErr w:type="gramEnd"/>
      <w:r w:rsidRPr="00325782">
        <w:t xml:space="preserve"> </w:t>
      </w:r>
      <w:r w:rsidRPr="00325782">
        <w:rPr>
          <w:i/>
          <w:iCs/>
        </w:rPr>
        <w:t xml:space="preserve">Texas School for the Blind and Visually Impaired. </w:t>
      </w:r>
      <w:hyperlink r:id="rId12" w:history="1">
        <w:r w:rsidRPr="00325782">
          <w:rPr>
            <w:rStyle w:val="Hyperlink"/>
          </w:rPr>
          <w:t>https://www.tsbvi.edu/minimal-lossesmajor-implications-1</w:t>
        </w:r>
      </w:hyperlink>
    </w:p>
    <w:p w:rsidR="0033756F" w:rsidRPr="00325782" w:rsidRDefault="0033756F" w:rsidP="0033756F">
      <w:pPr>
        <w:spacing w:line="276" w:lineRule="auto"/>
      </w:pPr>
      <w:r w:rsidRPr="00325782">
        <w:t xml:space="preserve">Schultz, Matt (2017). Understanding Concept Development and Related Challenges for Academic Students with </w:t>
      </w:r>
      <w:proofErr w:type="spellStart"/>
      <w:r w:rsidRPr="00325782">
        <w:t>DeafBlindness</w:t>
      </w:r>
      <w:proofErr w:type="spellEnd"/>
      <w:r w:rsidRPr="00325782">
        <w:t xml:space="preserve">. </w:t>
      </w:r>
      <w:r w:rsidRPr="00325782">
        <w:rPr>
          <w:i/>
          <w:iCs/>
        </w:rPr>
        <w:t xml:space="preserve">TX </w:t>
      </w:r>
      <w:proofErr w:type="spellStart"/>
      <w:r w:rsidRPr="00325782">
        <w:rPr>
          <w:i/>
          <w:iCs/>
        </w:rPr>
        <w:t>SenseAbilities</w:t>
      </w:r>
      <w:proofErr w:type="spellEnd"/>
      <w:r w:rsidRPr="00325782">
        <w:rPr>
          <w:i/>
          <w:iCs/>
        </w:rPr>
        <w:t xml:space="preserve"> Summer </w:t>
      </w:r>
      <w:proofErr w:type="spellStart"/>
      <w:r w:rsidRPr="00325782">
        <w:rPr>
          <w:i/>
          <w:iCs/>
        </w:rPr>
        <w:t>Summer</w:t>
      </w:r>
      <w:proofErr w:type="spellEnd"/>
      <w:r w:rsidRPr="00325782">
        <w:rPr>
          <w:i/>
          <w:iCs/>
        </w:rPr>
        <w:t xml:space="preserve"> 2017 Issue.</w:t>
      </w:r>
    </w:p>
    <w:p w:rsidR="0033756F" w:rsidRPr="00325782" w:rsidRDefault="0012228D" w:rsidP="0033756F">
      <w:pPr>
        <w:spacing w:line="276" w:lineRule="auto"/>
      </w:pPr>
      <w:hyperlink r:id="rId13" w:history="1">
        <w:r w:rsidR="0033756F" w:rsidRPr="00325782">
          <w:rPr>
            <w:rStyle w:val="Hyperlink"/>
            <w:i/>
            <w:iCs/>
          </w:rPr>
          <w:t>https://txdeafblindproject.org/wp-content/uploads/2021/04/UnderstandingConceptDevelopmentRelatedChallengesAcademicStudentsDB.pdf</w:t>
        </w:r>
      </w:hyperlink>
    </w:p>
    <w:p w:rsidR="0033756F" w:rsidRPr="00325782" w:rsidRDefault="0033756F" w:rsidP="0033756F">
      <w:pPr>
        <w:spacing w:line="276" w:lineRule="auto"/>
      </w:pPr>
      <w:r w:rsidRPr="00325782">
        <w:t xml:space="preserve">IEP Checklist for Proficient Communicators who are Deafblind. </w:t>
      </w:r>
      <w:hyperlink r:id="rId14" w:history="1">
        <w:r w:rsidRPr="00325782">
          <w:rPr>
            <w:rStyle w:val="Hyperlink"/>
          </w:rPr>
          <w:t>https://txdeafblindproject.org/products/books-newsletters/</w:t>
        </w:r>
      </w:hyperlink>
    </w:p>
    <w:p w:rsidR="0033756F" w:rsidRPr="00325782" w:rsidRDefault="0033756F" w:rsidP="0033756F">
      <w:pPr>
        <w:spacing w:line="276" w:lineRule="auto"/>
      </w:pPr>
      <w:r w:rsidRPr="00325782">
        <w:t>References and Resources</w:t>
      </w:r>
    </w:p>
    <w:p w:rsidR="0033756F" w:rsidRPr="00325782" w:rsidRDefault="0033756F" w:rsidP="0033756F">
      <w:pPr>
        <w:spacing w:line="276" w:lineRule="auto"/>
      </w:pPr>
      <w:r w:rsidRPr="00325782">
        <w:t xml:space="preserve">The Intervener as Instructional Coach: For Students Who Are Deafblind </w:t>
      </w:r>
      <w:proofErr w:type="gramStart"/>
      <w:r w:rsidRPr="00325782">
        <w:t>In</w:t>
      </w:r>
      <w:proofErr w:type="gramEnd"/>
      <w:r w:rsidRPr="00325782">
        <w:t xml:space="preserve"> General Education Settings. </w:t>
      </w:r>
      <w:hyperlink r:id="rId15" w:history="1">
        <w:r w:rsidRPr="00325782">
          <w:rPr>
            <w:rStyle w:val="Hyperlink"/>
          </w:rPr>
          <w:t>https://txdeafblindproject.org/products/podcasts-webinars/</w:t>
        </w:r>
      </w:hyperlink>
    </w:p>
    <w:p w:rsidR="0033756F" w:rsidRPr="00325782" w:rsidRDefault="0033756F" w:rsidP="0033756F">
      <w:pPr>
        <w:spacing w:line="276" w:lineRule="auto"/>
      </w:pPr>
      <w:r w:rsidRPr="00325782">
        <w:t xml:space="preserve">Montgomery, Chris Let’s Talk Eligibility: Frequently asked Questions. </w:t>
      </w:r>
      <w:proofErr w:type="spellStart"/>
      <w:r w:rsidRPr="00325782">
        <w:rPr>
          <w:i/>
          <w:iCs/>
        </w:rPr>
        <w:t>Tx</w:t>
      </w:r>
      <w:proofErr w:type="spellEnd"/>
      <w:r w:rsidRPr="00325782">
        <w:rPr>
          <w:i/>
          <w:iCs/>
        </w:rPr>
        <w:t xml:space="preserve"> </w:t>
      </w:r>
      <w:proofErr w:type="spellStart"/>
      <w:r w:rsidRPr="00325782">
        <w:rPr>
          <w:i/>
          <w:iCs/>
        </w:rPr>
        <w:t>SenseAbilities</w:t>
      </w:r>
      <w:proofErr w:type="spellEnd"/>
      <w:r w:rsidRPr="00325782">
        <w:rPr>
          <w:i/>
          <w:iCs/>
        </w:rPr>
        <w:t xml:space="preserve"> Spring/Summer 2017 Issue</w:t>
      </w:r>
    </w:p>
    <w:p w:rsidR="0033756F" w:rsidRPr="00325782" w:rsidRDefault="0012228D" w:rsidP="0033756F">
      <w:pPr>
        <w:spacing w:line="276" w:lineRule="auto"/>
      </w:pPr>
      <w:hyperlink r:id="rId16" w:history="1">
        <w:r w:rsidR="0033756F" w:rsidRPr="00325782">
          <w:rPr>
            <w:rStyle w:val="Hyperlink"/>
          </w:rPr>
          <w:t xml:space="preserve">https://www.tsbvi.edu/5378-let-s-talk-deafblind-eligibility-frequently-asked-questions </w:t>
        </w:r>
      </w:hyperlink>
    </w:p>
    <w:p w:rsidR="0033756F" w:rsidRDefault="0033756F" w:rsidP="0033756F"/>
    <w:p w:rsidR="00C17989" w:rsidRPr="00AE3BF9" w:rsidRDefault="00C17989" w:rsidP="00A80E25">
      <w:pPr>
        <w:jc w:val="center"/>
        <w:rPr>
          <w:rFonts w:cs="Arial"/>
          <w:sz w:val="22"/>
          <w:szCs w:val="22"/>
        </w:rPr>
      </w:pPr>
    </w:p>
    <w:sectPr w:rsidR="00C17989" w:rsidRPr="00AE3BF9" w:rsidSect="00C1798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D90"/>
    <w:multiLevelType w:val="hybridMultilevel"/>
    <w:tmpl w:val="1CF0A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210B2"/>
    <w:multiLevelType w:val="hybridMultilevel"/>
    <w:tmpl w:val="5DAC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0117"/>
    <w:multiLevelType w:val="hybridMultilevel"/>
    <w:tmpl w:val="1C96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C51"/>
    <w:multiLevelType w:val="hybridMultilevel"/>
    <w:tmpl w:val="0ED68976"/>
    <w:lvl w:ilvl="0" w:tplc="00949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E824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63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2D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AB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A5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0C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C9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A06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F707C"/>
    <w:multiLevelType w:val="hybridMultilevel"/>
    <w:tmpl w:val="32CE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60AC"/>
    <w:multiLevelType w:val="hybridMultilevel"/>
    <w:tmpl w:val="C5F4C944"/>
    <w:lvl w:ilvl="0" w:tplc="CBBC6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BAA7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F145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889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6D62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1CA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7F68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B8C3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3A7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36772A29"/>
    <w:multiLevelType w:val="hybridMultilevel"/>
    <w:tmpl w:val="5E868F1C"/>
    <w:lvl w:ilvl="0" w:tplc="D0F03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4F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C5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A4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5C5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6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CB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A8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08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A25276"/>
    <w:multiLevelType w:val="multilevel"/>
    <w:tmpl w:val="9B88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E2122"/>
    <w:multiLevelType w:val="hybridMultilevel"/>
    <w:tmpl w:val="8B0A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467AF"/>
    <w:multiLevelType w:val="hybridMultilevel"/>
    <w:tmpl w:val="E32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401F"/>
    <w:multiLevelType w:val="hybridMultilevel"/>
    <w:tmpl w:val="4AD0A4D8"/>
    <w:lvl w:ilvl="0" w:tplc="7EE24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AF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2A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AA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84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3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64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02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84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4C137E"/>
    <w:multiLevelType w:val="hybridMultilevel"/>
    <w:tmpl w:val="F4700CBC"/>
    <w:lvl w:ilvl="0" w:tplc="E2B6E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85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85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6B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EF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48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01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6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41B1ABA"/>
    <w:multiLevelType w:val="hybridMultilevel"/>
    <w:tmpl w:val="184C838A"/>
    <w:lvl w:ilvl="0" w:tplc="D9E0E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CE3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8C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C3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E2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4A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23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EC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545413"/>
    <w:multiLevelType w:val="hybridMultilevel"/>
    <w:tmpl w:val="F486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3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89"/>
    <w:rsid w:val="0012228D"/>
    <w:rsid w:val="001C61D8"/>
    <w:rsid w:val="00271AD9"/>
    <w:rsid w:val="0033756F"/>
    <w:rsid w:val="00364AB6"/>
    <w:rsid w:val="00450E55"/>
    <w:rsid w:val="00552217"/>
    <w:rsid w:val="00614DA0"/>
    <w:rsid w:val="00743161"/>
    <w:rsid w:val="008D2D9D"/>
    <w:rsid w:val="00A02CF4"/>
    <w:rsid w:val="00A80E25"/>
    <w:rsid w:val="00AE3BF9"/>
    <w:rsid w:val="00C17989"/>
    <w:rsid w:val="00C9533C"/>
    <w:rsid w:val="00DA22F1"/>
    <w:rsid w:val="00F1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004F"/>
  <w15:chartTrackingRefBased/>
  <w15:docId w15:val="{3FC1D053-2FA8-464C-87B6-7F426517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989"/>
    <w:pPr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5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5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7989"/>
    <w:rPr>
      <w:color w:val="0000FF"/>
      <w:u w:val="single"/>
    </w:rPr>
  </w:style>
  <w:style w:type="paragraph" w:customStyle="1" w:styleId="LetterheadLevel1">
    <w:name w:val="Letterhead Level 1"/>
    <w:basedOn w:val="Normal"/>
    <w:autoRedefine/>
    <w:qFormat/>
    <w:rsid w:val="00C17989"/>
    <w:pPr>
      <w:spacing w:before="120" w:after="120"/>
    </w:pPr>
    <w:rPr>
      <w:color w:val="861714"/>
      <w:sz w:val="32"/>
      <w:szCs w:val="32"/>
    </w:rPr>
  </w:style>
  <w:style w:type="paragraph" w:customStyle="1" w:styleId="LetterheadLevel2">
    <w:name w:val="Letterhead Level 2"/>
    <w:basedOn w:val="LetterheadLevel1"/>
    <w:autoRedefine/>
    <w:qFormat/>
    <w:rsid w:val="00C17989"/>
  </w:style>
  <w:style w:type="paragraph" w:styleId="ListParagraph">
    <w:name w:val="List Paragraph"/>
    <w:basedOn w:val="Normal"/>
    <w:uiPriority w:val="34"/>
    <w:qFormat/>
    <w:rsid w:val="00450E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375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375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64AB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sond@tsbvi.edu" TargetMode="External"/><Relationship Id="rId13" Type="http://schemas.openxmlformats.org/officeDocument/2006/relationships/hyperlink" Target="https://txdeafblindproject.org/wp-content/uploads/2021/04/UnderstandingConceptDevelopmentRelatedChallengesAcademicStudentsDB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nettk@tsbvi.edu" TargetMode="External"/><Relationship Id="rId12" Type="http://schemas.openxmlformats.org/officeDocument/2006/relationships/hyperlink" Target="https://www.tsbvi.edu/minimal-lossesmajor-implications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sbvi.edu/5378-let-s-talk-deafblind-eligibility-frequently-asked-questi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sbvi.edu" TargetMode="External"/><Relationship Id="rId11" Type="http://schemas.openxmlformats.org/officeDocument/2006/relationships/hyperlink" Target="http://txdeafblindproject.or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xdeafblindproject.org/products/podcasts-webinars/" TargetMode="External"/><Relationship Id="rId10" Type="http://schemas.openxmlformats.org/officeDocument/2006/relationships/hyperlink" Target="https://sites.ed.gov/idea/regs/b/a/300.8/c/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xdeafblindproject.org/products/books-newslet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School for the Blind and Visually Impaired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Borg</dc:creator>
  <cp:keywords/>
  <dc:description/>
  <cp:lastModifiedBy>Kaycee Bennett</cp:lastModifiedBy>
  <cp:revision>3</cp:revision>
  <dcterms:created xsi:type="dcterms:W3CDTF">2021-09-14T13:54:00Z</dcterms:created>
  <dcterms:modified xsi:type="dcterms:W3CDTF">2021-09-16T16:51:00Z</dcterms:modified>
</cp:coreProperties>
</file>