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69E70" w14:textId="77777777" w:rsidR="007A7D3F" w:rsidRDefault="007A7D3F" w:rsidP="007A7D3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</w:rPr>
      </w:pPr>
    </w:p>
    <w:p w14:paraId="02392FF1" w14:textId="77777777" w:rsidR="007A7D3F" w:rsidRDefault="007A7D3F" w:rsidP="007A7D3F">
      <w:pPr>
        <w:spacing w:before="120" w:after="120"/>
        <w:rPr>
          <w:color w:val="861714"/>
          <w:sz w:val="40"/>
          <w:szCs w:val="40"/>
        </w:rPr>
      </w:pPr>
      <w:r>
        <w:rPr>
          <w:color w:val="861714"/>
          <w:sz w:val="40"/>
          <w:szCs w:val="40"/>
        </w:rPr>
        <w:t>Texas School for the Blind and Visually Impaired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4EBE282" wp14:editId="685D4A93">
            <wp:simplePos x="0" y="0"/>
            <wp:positionH relativeFrom="column">
              <wp:posOffset>-152365</wp:posOffset>
            </wp:positionH>
            <wp:positionV relativeFrom="paragraph">
              <wp:posOffset>78439</wp:posOffset>
            </wp:positionV>
            <wp:extent cx="1038225" cy="914400"/>
            <wp:effectExtent l="0" t="0" r="0" b="0"/>
            <wp:wrapSquare wrapText="bothSides" distT="0" distB="0" distL="114300" distR="114300"/>
            <wp:docPr id="11" name="image1.jpg" descr="TSBVI Logo - a gold star inside a maroon circle with the school name written around the circle and the initials TSBVI between the points of th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SBVI Logo - a gold star inside a maroon circle with the school name written around the circle and the initials TSBVI between the points of the sta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F0F0C3" w14:textId="77777777" w:rsidR="007A7D3F" w:rsidRDefault="007A7D3F" w:rsidP="007A7D3F">
      <w:pPr>
        <w:spacing w:before="120" w:after="120"/>
        <w:rPr>
          <w:color w:val="861714"/>
          <w:sz w:val="32"/>
          <w:szCs w:val="32"/>
        </w:rPr>
      </w:pPr>
      <w:r>
        <w:rPr>
          <w:color w:val="861714"/>
          <w:sz w:val="32"/>
          <w:szCs w:val="32"/>
        </w:rPr>
        <w:t>Outreach Programs</w:t>
      </w:r>
    </w:p>
    <w:p w14:paraId="44515C3B" w14:textId="77777777" w:rsidR="007A7D3F" w:rsidRDefault="007A7D3F" w:rsidP="007A7D3F">
      <w:pPr>
        <w:spacing w:before="120" w:after="120"/>
        <w:rPr>
          <w:sz w:val="28"/>
          <w:szCs w:val="28"/>
        </w:rPr>
      </w:pPr>
      <w:hyperlink r:id="rId9">
        <w:r>
          <w:rPr>
            <w:color w:val="0000FF"/>
            <w:sz w:val="28"/>
            <w:szCs w:val="28"/>
            <w:u w:val="single"/>
          </w:rPr>
          <w:t>www.tsbvi.edu</w:t>
        </w:r>
      </w:hyperlink>
      <w:r>
        <w:rPr>
          <w:sz w:val="28"/>
          <w:szCs w:val="28"/>
        </w:rPr>
        <w:t xml:space="preserve"> </w:t>
      </w:r>
      <w:r>
        <w:rPr>
          <w:color w:val="861714"/>
          <w:sz w:val="28"/>
          <w:szCs w:val="28"/>
        </w:rPr>
        <w:t>| 512-454-8631| 1100 W. 45</w:t>
      </w:r>
      <w:r>
        <w:rPr>
          <w:color w:val="861714"/>
          <w:sz w:val="28"/>
          <w:szCs w:val="28"/>
          <w:vertAlign w:val="superscript"/>
        </w:rPr>
        <w:t>th</w:t>
      </w:r>
      <w:r>
        <w:rPr>
          <w:color w:val="861714"/>
          <w:sz w:val="28"/>
          <w:szCs w:val="28"/>
        </w:rPr>
        <w:t xml:space="preserve"> St. | Austin, TX 78756</w:t>
      </w:r>
    </w:p>
    <w:p w14:paraId="01100844" w14:textId="04918568" w:rsidR="007A7D3F" w:rsidRPr="007A7D3F" w:rsidRDefault="007A7D3F" w:rsidP="007A7D3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E02DE33" wp14:editId="2F133AB2">
                <wp:simplePos x="0" y="0"/>
                <wp:positionH relativeFrom="column">
                  <wp:posOffset>2314</wp:posOffset>
                </wp:positionH>
                <wp:positionV relativeFrom="paragraph">
                  <wp:posOffset>36476</wp:posOffset>
                </wp:positionV>
                <wp:extent cx="6545483" cy="0"/>
                <wp:effectExtent l="0" t="19050" r="27305" b="19050"/>
                <wp:wrapNone/>
                <wp:docPr id="10" name="Straight Arrow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483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F52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.2pt;margin-top:2.85pt;width:51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" strokecolor="#c0504d [3205]" strokeweight="3pt">
                <v:stroke startarrowwidth="narrow" startarrowlength="short" endarrowwidth="narrow" endarrowlength="short"/>
              </v:shape>
            </w:pict>
          </mc:Fallback>
        </mc:AlternateContent>
      </w:r>
      <w:bookmarkStart w:id="0" w:name="_GoBack"/>
      <w:bookmarkEnd w:id="0"/>
    </w:p>
    <w:p w14:paraId="0FDC71CD" w14:textId="37E90275" w:rsidR="00A303B6" w:rsidRDefault="00150AFE">
      <w:pPr>
        <w:pStyle w:val="Heading1"/>
        <w:rPr>
          <w:color w:val="861714"/>
        </w:rPr>
      </w:pPr>
      <w:r>
        <w:rPr>
          <w:color w:val="861714"/>
        </w:rPr>
        <w:t>S</w:t>
      </w:r>
      <w:r>
        <w:rPr>
          <w:color w:val="861714"/>
        </w:rPr>
        <w:t>tandardized Infant Functional Vision Screening Using Neonatal Assessment Visual European Grid (NAVEG)</w:t>
      </w:r>
    </w:p>
    <w:p w14:paraId="17069221" w14:textId="77777777" w:rsidR="00A303B6" w:rsidRDefault="00150AFE">
      <w:pPr>
        <w:pStyle w:val="Subtitle"/>
      </w:pPr>
      <w:r>
        <w:t>October 6, 2025</w:t>
      </w:r>
    </w:p>
    <w:p w14:paraId="7220A87E" w14:textId="77777777" w:rsidR="00A303B6" w:rsidRDefault="00150AFE">
      <w:pPr>
        <w:jc w:val="center"/>
        <w:rPr>
          <w:color w:val="1A3866"/>
        </w:rPr>
      </w:pPr>
      <w:r>
        <w:rPr>
          <w:color w:val="1A3866"/>
        </w:rPr>
        <w:t xml:space="preserve">Diane Sheline </w:t>
      </w:r>
    </w:p>
    <w:p w14:paraId="69ECE5ED" w14:textId="77777777" w:rsidR="00A303B6" w:rsidRDefault="00150AFE">
      <w:pPr>
        <w:jc w:val="center"/>
        <w:rPr>
          <w:color w:val="1A3866"/>
        </w:rPr>
      </w:pPr>
      <w:r>
        <w:rPr>
          <w:color w:val="1A3866"/>
        </w:rPr>
        <w:t>Hillary Keys</w:t>
      </w:r>
    </w:p>
    <w:p w14:paraId="403DB48D" w14:textId="77777777" w:rsidR="00A303B6" w:rsidRDefault="00150AFE">
      <w:pPr>
        <w:pStyle w:val="Heading2"/>
      </w:pPr>
      <w:bookmarkStart w:id="1" w:name="_heading=h.aqmg7nywru9b" w:colFirst="0" w:colLast="0"/>
      <w:bookmarkEnd w:id="1"/>
      <w:r>
        <w:t>Objectives</w:t>
      </w:r>
    </w:p>
    <w:p w14:paraId="1A445DF1" w14:textId="77777777" w:rsidR="00A303B6" w:rsidRDefault="00150AFE">
      <w:pPr>
        <w:rPr>
          <w:sz w:val="22"/>
          <w:szCs w:val="22"/>
        </w:rPr>
      </w:pPr>
      <w:r>
        <w:rPr>
          <w:sz w:val="22"/>
          <w:szCs w:val="22"/>
        </w:rPr>
        <w:t>Participants will:</w:t>
      </w:r>
    </w:p>
    <w:p w14:paraId="4BD49C6D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Explain the rationale for using the NAVEG</w:t>
      </w:r>
    </w:p>
    <w:p w14:paraId="3681CC14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Identify conditions associated with </w:t>
      </w:r>
      <w:r>
        <w:rPr>
          <w:sz w:val="22"/>
          <w:szCs w:val="22"/>
        </w:rPr>
        <w:t>CVI</w:t>
      </w:r>
    </w:p>
    <w:p w14:paraId="2C7EE3DF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Become familiar with the screening materials</w:t>
      </w:r>
    </w:p>
    <w:p w14:paraId="1AF8BC3A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Have an understanding of</w:t>
      </w:r>
      <w:proofErr w:type="gramEnd"/>
      <w:r>
        <w:rPr>
          <w:sz w:val="22"/>
          <w:szCs w:val="22"/>
        </w:rPr>
        <w:t xml:space="preserve"> the screening components of the NAVEG</w:t>
      </w:r>
    </w:p>
    <w:p w14:paraId="5359CB38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Learn about training options</w:t>
      </w:r>
    </w:p>
    <w:p w14:paraId="36D60E7E" w14:textId="77777777" w:rsidR="00A303B6" w:rsidRDefault="00A303B6">
      <w:pPr>
        <w:rPr>
          <w:sz w:val="22"/>
          <w:szCs w:val="22"/>
        </w:rPr>
      </w:pPr>
    </w:p>
    <w:p w14:paraId="4CF6C7DF" w14:textId="77777777" w:rsidR="00A303B6" w:rsidRDefault="00150AFE">
      <w:pPr>
        <w:pStyle w:val="Heading2"/>
      </w:pPr>
      <w:bookmarkStart w:id="2" w:name="_heading=h.u10ireunzwn7" w:colFirst="0" w:colLast="0"/>
      <w:bookmarkEnd w:id="2"/>
      <w:r>
        <w:t>Agenda</w:t>
      </w:r>
    </w:p>
    <w:p w14:paraId="325E9685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Conditions Associated with CVI</w:t>
      </w:r>
    </w:p>
    <w:p w14:paraId="71C1445B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NAVEG Rationale</w:t>
      </w:r>
    </w:p>
    <w:p w14:paraId="1E68414F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Components of NAVEG</w:t>
      </w:r>
    </w:p>
    <w:p w14:paraId="209E3D0E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NAVEG Training</w:t>
      </w:r>
    </w:p>
    <w:p w14:paraId="71991541" w14:textId="77777777" w:rsidR="00A303B6" w:rsidRDefault="00A303B6">
      <w:pPr>
        <w:rPr>
          <w:sz w:val="22"/>
          <w:szCs w:val="22"/>
        </w:rPr>
      </w:pPr>
    </w:p>
    <w:p w14:paraId="18D15048" w14:textId="77777777" w:rsidR="00A303B6" w:rsidRDefault="00150AFE">
      <w:pPr>
        <w:pStyle w:val="Heading2"/>
      </w:pPr>
      <w:bookmarkStart w:id="3" w:name="_heading=h.a9tllhl4w2q4" w:colFirst="0" w:colLast="0"/>
      <w:bookmarkEnd w:id="3"/>
      <w:r>
        <w:t>Conditions</w:t>
      </w:r>
    </w:p>
    <w:p w14:paraId="3101A2C3" w14:textId="77777777" w:rsidR="00A303B6" w:rsidRDefault="00150AFE">
      <w:pPr>
        <w:pStyle w:val="Heading3"/>
      </w:pPr>
      <w:r>
        <w:t>What’s the br</w:t>
      </w:r>
      <w:r>
        <w:t>ain got to do with it?</w:t>
      </w:r>
    </w:p>
    <w:p w14:paraId="26CDED0E" w14:textId="77777777" w:rsidR="00A303B6" w:rsidRDefault="00150AFE">
      <w:pPr>
        <w:pStyle w:val="Heading3"/>
      </w:pPr>
      <w:r>
        <w:t>Some Conditions Associated with CVI</w:t>
      </w:r>
    </w:p>
    <w:p w14:paraId="450C003C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Prematurity</w:t>
      </w:r>
    </w:p>
    <w:p w14:paraId="7871E8F1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Periventricular leukomalacia (PVL)</w:t>
      </w:r>
    </w:p>
    <w:p w14:paraId="45025C03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Hypoxic ischemic encephalopathy (HIE)</w:t>
      </w:r>
    </w:p>
    <w:p w14:paraId="0690BFAD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Focal damage to the brain (hemorrhage, tumor, dysplasia)</w:t>
      </w:r>
    </w:p>
    <w:p w14:paraId="7A16087D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bookmarkStart w:id="4" w:name="_heading=h.yzyerrwtijvv" w:colFirst="0" w:colLast="0"/>
      <w:bookmarkEnd w:id="4"/>
      <w:r>
        <w:rPr>
          <w:sz w:val="22"/>
          <w:szCs w:val="22"/>
        </w:rPr>
        <w:t>Neonatal hypoglycemia</w:t>
      </w:r>
    </w:p>
    <w:p w14:paraId="3A50AFE7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Infantile spasms and epilepsy</w:t>
      </w:r>
    </w:p>
    <w:p w14:paraId="4478FA93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Hydrocephalus/shunt failure</w:t>
      </w:r>
    </w:p>
    <w:p w14:paraId="7031A215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Chromosomal or genetic disorders</w:t>
      </w:r>
    </w:p>
    <w:p w14:paraId="3B23E0D0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Metabolic disorders</w:t>
      </w:r>
    </w:p>
    <w:p w14:paraId="6A7455AA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Meningitis and encephalitis</w:t>
      </w:r>
    </w:p>
    <w:p w14:paraId="0C074D40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Cerebral Palsy (CP)</w:t>
      </w:r>
    </w:p>
    <w:p w14:paraId="0F2B58B5" w14:textId="77777777" w:rsidR="00A303B6" w:rsidRDefault="00150AFE">
      <w:pPr>
        <w:pStyle w:val="Heading3"/>
      </w:pPr>
      <w:r>
        <w:t>Babies Count</w:t>
      </w:r>
    </w:p>
    <w:p w14:paraId="0CF6E409" w14:textId="77777777" w:rsidR="00A303B6" w:rsidRDefault="00150A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Results from 2022-2023 National Data:</w:t>
      </w:r>
    </w:p>
    <w:p w14:paraId="7696DD4C" w14:textId="77777777" w:rsidR="00A303B6" w:rsidRDefault="00150A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32% of babies with visual impairment have the diagnosis of CVI</w:t>
      </w:r>
    </w:p>
    <w:p w14:paraId="14B49703" w14:textId="77777777" w:rsidR="00A303B6" w:rsidRDefault="00150A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Age of diagno</w:t>
      </w:r>
      <w:r>
        <w:rPr>
          <w:color w:val="000000"/>
        </w:rPr>
        <w:t>sis of CVI: 14.5 months</w:t>
      </w:r>
    </w:p>
    <w:p w14:paraId="6F11FEDE" w14:textId="77777777" w:rsidR="00A303B6" w:rsidRDefault="00150A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Age of referral to services for a child with CVI: 12.4 months</w:t>
      </w:r>
    </w:p>
    <w:p w14:paraId="206B6E01" w14:textId="77777777" w:rsidR="00A303B6" w:rsidRDefault="00150A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Age at enrollment for BVI services: 13.4 months</w:t>
      </w:r>
    </w:p>
    <w:p w14:paraId="5467F0CE" w14:textId="77777777" w:rsidR="00A303B6" w:rsidRDefault="00150A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Babies Count Database (2023)</w:t>
      </w:r>
    </w:p>
    <w:p w14:paraId="328E03E0" w14:textId="77777777" w:rsidR="00A303B6" w:rsidRDefault="00150AFE">
      <w:pPr>
        <w:pStyle w:val="Heading3"/>
      </w:pPr>
      <w:r>
        <w:t>Synaptic Development</w:t>
      </w:r>
    </w:p>
    <w:p w14:paraId="0D377794" w14:textId="77777777" w:rsidR="00A303B6" w:rsidRDefault="00150AFE">
      <w:r>
        <w:t>Visual connections begin before birth, and actually start to decrease by</w:t>
      </w:r>
      <w:r>
        <w:t xml:space="preserve"> six months. This means vision is not only present, but this early time period is critical for vision development.  </w:t>
      </w:r>
    </w:p>
    <w:p w14:paraId="23F31C05" w14:textId="77777777" w:rsidR="00A303B6" w:rsidRDefault="00150AFE">
      <w:pPr>
        <w:pStyle w:val="Heading3"/>
      </w:pPr>
      <w:r>
        <w:t>What do we know?</w:t>
      </w:r>
    </w:p>
    <w:p w14:paraId="4086A895" w14:textId="77777777" w:rsidR="00A303B6" w:rsidRDefault="00150AFE">
      <w:pPr>
        <w:numPr>
          <w:ilvl w:val="0"/>
          <w:numId w:val="12"/>
        </w:numPr>
      </w:pPr>
      <w:r>
        <w:t>Babies are capable of using vision, even at 37 weeks gestation</w:t>
      </w:r>
      <w:r>
        <w:rPr>
          <w:color w:val="000000"/>
        </w:rPr>
        <w:t>!</w:t>
      </w:r>
    </w:p>
    <w:p w14:paraId="08FE41E3" w14:textId="77777777" w:rsidR="00A303B6" w:rsidRDefault="00150AF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This could change the standard of care.</w:t>
      </w:r>
    </w:p>
    <w:p w14:paraId="1D324835" w14:textId="77777777" w:rsidR="00A303B6" w:rsidRDefault="00150AF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Early brain </w:t>
      </w:r>
      <w:r>
        <w:rPr>
          <w:color w:val="000000"/>
        </w:rPr>
        <w:t>plasticity can rewire visual pathways.</w:t>
      </w:r>
    </w:p>
    <w:p w14:paraId="2D08C936" w14:textId="77777777" w:rsidR="00A303B6" w:rsidRDefault="00150AF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With early parent and team training, we expect to see improvement in the use of functional vision.</w:t>
      </w:r>
    </w:p>
    <w:p w14:paraId="451BD9AF" w14:textId="77777777" w:rsidR="00A303B6" w:rsidRDefault="00150AF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Families </w:t>
      </w:r>
      <w:r>
        <w:rPr>
          <w:color w:val="000000"/>
        </w:rPr>
        <w:t>find information empowering.</w:t>
      </w:r>
    </w:p>
    <w:p w14:paraId="587AE9D6" w14:textId="77777777" w:rsidR="00A303B6" w:rsidRDefault="00150AFE">
      <w:pPr>
        <w:pStyle w:val="Heading3"/>
      </w:pPr>
      <w:r>
        <w:t>Why does it matter to us?</w:t>
      </w:r>
    </w:p>
    <w:p w14:paraId="7E6999B8" w14:textId="77777777" w:rsidR="00A303B6" w:rsidRDefault="00150A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Early Intervention</w:t>
      </w:r>
    </w:p>
    <w:p w14:paraId="343B2606" w14:textId="77777777" w:rsidR="00A303B6" w:rsidRDefault="00150A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Early brain plasticity means we can</w:t>
      </w:r>
      <w:r>
        <w:rPr>
          <w:color w:val="000000"/>
        </w:rPr>
        <w:t xml:space="preserve"> help young children improve the use of their functional vision (</w:t>
      </w:r>
      <w:proofErr w:type="spellStart"/>
      <w:r>
        <w:rPr>
          <w:color w:val="000000"/>
        </w:rPr>
        <w:t>Demaster</w:t>
      </w:r>
      <w:proofErr w:type="spellEnd"/>
      <w:r>
        <w:rPr>
          <w:color w:val="000000"/>
        </w:rPr>
        <w:t xml:space="preserve"> et al., 2019)</w:t>
      </w:r>
    </w:p>
    <w:p w14:paraId="5C2E8986" w14:textId="77777777" w:rsidR="00A303B6" w:rsidRDefault="00150AFE">
      <w:pPr>
        <w:numPr>
          <w:ilvl w:val="0"/>
          <w:numId w:val="13"/>
        </w:numPr>
      </w:pPr>
      <w:r>
        <w:t>The earlier a positive screening, referral, and diagnosis are made, the better the functional vision outcome</w:t>
      </w:r>
    </w:p>
    <w:p w14:paraId="005EAF41" w14:textId="77777777" w:rsidR="00A303B6" w:rsidRDefault="00A303B6"/>
    <w:p w14:paraId="4B75EE5C" w14:textId="77777777" w:rsidR="00A303B6" w:rsidRDefault="00150AFE">
      <w:pPr>
        <w:pStyle w:val="Heading2"/>
      </w:pPr>
      <w:bookmarkStart w:id="5" w:name="_heading=h.o5tetz5frtfz" w:colFirst="0" w:colLast="0"/>
      <w:bookmarkEnd w:id="5"/>
      <w:r>
        <w:t>Why use the NAVEG? Rationale</w:t>
      </w:r>
    </w:p>
    <w:p w14:paraId="06461D8A" w14:textId="77777777" w:rsidR="00A303B6" w:rsidRDefault="00150AFE">
      <w:pPr>
        <w:pStyle w:val="Heading3"/>
      </w:pPr>
      <w:r>
        <w:t>PROVIDES:</w:t>
      </w:r>
    </w:p>
    <w:p w14:paraId="4AE7D807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  <w:highlight w:val="white"/>
        </w:rPr>
        <w:t>Identification of a</w:t>
      </w:r>
      <w:r>
        <w:rPr>
          <w:sz w:val="22"/>
          <w:szCs w:val="22"/>
          <w:highlight w:val="white"/>
        </w:rPr>
        <w:t>t-risk infants and referral</w:t>
      </w:r>
    </w:p>
    <w:p w14:paraId="3B57546B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Greater understanding of visual development</w:t>
      </w:r>
    </w:p>
    <w:p w14:paraId="204E587A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Increased diagnosis of CVI</w:t>
      </w:r>
    </w:p>
    <w:p w14:paraId="78A4FE5C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Standardized visual screening</w:t>
      </w:r>
    </w:p>
    <w:p w14:paraId="6CBEF88B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Not invasive</w:t>
      </w:r>
    </w:p>
    <w:p w14:paraId="7551E6B4" w14:textId="77777777" w:rsidR="00A303B6" w:rsidRDefault="00150AFE">
      <w:pPr>
        <w:widowControl w:val="0"/>
        <w:numPr>
          <w:ilvl w:val="0"/>
          <w:numId w:val="1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Easy to learn how to use and to train others</w:t>
      </w:r>
    </w:p>
    <w:p w14:paraId="620C6B1E" w14:textId="77777777" w:rsidR="00A303B6" w:rsidRDefault="00150AFE">
      <w:pPr>
        <w:pStyle w:val="Heading3"/>
      </w:pPr>
      <w:bookmarkStart w:id="6" w:name="_heading=h.14x9rwzhybgk" w:colFirst="0" w:colLast="0"/>
      <w:bookmarkEnd w:id="6"/>
      <w:r>
        <w:lastRenderedPageBreak/>
        <w:t>Screening Disclaimer – How a Screening Differs from an Evaluation</w:t>
      </w:r>
    </w:p>
    <w:p w14:paraId="1176551D" w14:textId="77777777" w:rsidR="00A303B6" w:rsidRDefault="00150AFE">
      <w:r>
        <w:t xml:space="preserve">A </w:t>
      </w:r>
      <w:r>
        <w:t>Screening…</w:t>
      </w:r>
    </w:p>
    <w:p w14:paraId="03ABECA4" w14:textId="77777777" w:rsidR="00A303B6" w:rsidRDefault="00150AF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is </w:t>
      </w:r>
      <w:r>
        <w:t>a</w:t>
      </w:r>
      <w:r>
        <w:rPr>
          <w:color w:val="000000"/>
        </w:rPr>
        <w:t xml:space="preserve"> broad assessment that’s usually brief</w:t>
      </w:r>
    </w:p>
    <w:p w14:paraId="75A1FE68" w14:textId="77777777" w:rsidR="00A303B6" w:rsidRDefault="00150AF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 often used to identify whether an individual demonstrates characteristics of a specific condition</w:t>
      </w:r>
    </w:p>
    <w:p w14:paraId="62A9C9C6" w14:textId="77777777" w:rsidR="00A303B6" w:rsidRDefault="00150AF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does not provide a diagnosis</w:t>
      </w:r>
    </w:p>
    <w:p w14:paraId="26AEA3A6" w14:textId="77777777" w:rsidR="00A303B6" w:rsidRDefault="00150AF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uses only a few, specific tools</w:t>
      </w:r>
    </w:p>
    <w:p w14:paraId="14C8CE4E" w14:textId="77777777" w:rsidR="00A303B6" w:rsidRDefault="00150AF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usually can be conducted by anyone with </w:t>
      </w:r>
      <w:r>
        <w:rPr>
          <w:color w:val="000000"/>
        </w:rPr>
        <w:t>training</w:t>
      </w:r>
    </w:p>
    <w:p w14:paraId="769F463F" w14:textId="77777777" w:rsidR="00A303B6" w:rsidRDefault="00A303B6"/>
    <w:p w14:paraId="5756DCC4" w14:textId="77777777" w:rsidR="00A303B6" w:rsidRDefault="00150AFE">
      <w:pPr>
        <w:pStyle w:val="Heading2"/>
      </w:pPr>
      <w:bookmarkStart w:id="7" w:name="_heading=h.1so4qrkps8u" w:colFirst="0" w:colLast="0"/>
      <w:bookmarkEnd w:id="7"/>
      <w:r>
        <w:t>Components of the NAVEG</w:t>
      </w:r>
    </w:p>
    <w:p w14:paraId="3A602B09" w14:textId="77777777" w:rsidR="00A303B6" w:rsidRDefault="00150AFE">
      <w:pPr>
        <w:pStyle w:val="Heading3"/>
      </w:pPr>
      <w:r>
        <w:t>Organization of the screening steps</w:t>
      </w:r>
    </w:p>
    <w:p w14:paraId="165FDE53" w14:textId="77777777" w:rsidR="00A303B6" w:rsidRDefault="00150AFE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Ocular Visual (4 components)</w:t>
      </w:r>
    </w:p>
    <w:p w14:paraId="76E0D8C3" w14:textId="77777777" w:rsidR="00A303B6" w:rsidRDefault="00150AFE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Motor Visual (9 components)</w:t>
      </w:r>
    </w:p>
    <w:p w14:paraId="2AE89D0A" w14:textId="77777777" w:rsidR="00A303B6" w:rsidRDefault="00150AFE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Perceptual (4 components)</w:t>
      </w:r>
    </w:p>
    <w:p w14:paraId="38DD4733" w14:textId="77777777" w:rsidR="00A303B6" w:rsidRDefault="00150AFE">
      <w:pPr>
        <w:pStyle w:val="Heading3"/>
      </w:pPr>
      <w:r>
        <w:t>Organization of these screening steps</w:t>
      </w:r>
    </w:p>
    <w:p w14:paraId="1C013CB5" w14:textId="77777777" w:rsidR="00A303B6" w:rsidRDefault="00150AFE">
      <w:pPr>
        <w:widowControl w:val="0"/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Each Grouping:</w:t>
      </w:r>
    </w:p>
    <w:p w14:paraId="7682A2AC" w14:textId="77777777" w:rsidR="00A303B6" w:rsidRDefault="00150AFE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Contains both observational and interactive </w:t>
      </w:r>
      <w:r>
        <w:rPr>
          <w:color w:val="000000"/>
          <w:sz w:val="22"/>
          <w:szCs w:val="22"/>
        </w:rPr>
        <w:t>screening components</w:t>
      </w:r>
    </w:p>
    <w:p w14:paraId="0CA7A629" w14:textId="77777777" w:rsidR="00A303B6" w:rsidRDefault="00150AFE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When conducting screening, proceed through all observational and then all active components</w:t>
      </w:r>
    </w:p>
    <w:p w14:paraId="169E282C" w14:textId="77777777" w:rsidR="00A303B6" w:rsidRDefault="00150AFE">
      <w:pPr>
        <w:widowControl w:val="0"/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Some components include using a bright light, and these should occur at the end of the screening</w:t>
      </w:r>
    </w:p>
    <w:p w14:paraId="4C77D914" w14:textId="77777777" w:rsidR="00A303B6" w:rsidRDefault="00150AFE">
      <w:pPr>
        <w:widowControl w:val="0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May be aversive</w:t>
      </w:r>
    </w:p>
    <w:p w14:paraId="2CCFBDD7" w14:textId="77777777" w:rsidR="00A303B6" w:rsidRDefault="00150AFE">
      <w:pPr>
        <w:widowControl w:val="0"/>
        <w:numPr>
          <w:ilvl w:val="0"/>
          <w:numId w:val="17"/>
        </w:numPr>
        <w:spacing w:after="40" w:line="276" w:lineRule="auto"/>
        <w:rPr>
          <w:sz w:val="22"/>
          <w:szCs w:val="22"/>
        </w:rPr>
      </w:pPr>
      <w:r>
        <w:rPr>
          <w:sz w:val="22"/>
          <w:szCs w:val="22"/>
        </w:rPr>
        <w:t>Constricts pupils</w:t>
      </w:r>
    </w:p>
    <w:p w14:paraId="38B2B853" w14:textId="77777777" w:rsidR="00A303B6" w:rsidRDefault="00150AFE">
      <w:pPr>
        <w:pStyle w:val="Heading3"/>
      </w:pPr>
      <w:r>
        <w:t>Observational Components: Ocular Visual</w:t>
      </w:r>
    </w:p>
    <w:p w14:paraId="3B560C1D" w14:textId="77777777" w:rsidR="00A303B6" w:rsidRDefault="00150AF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Eye abnormalities</w:t>
      </w:r>
    </w:p>
    <w:p w14:paraId="6F1B84B5" w14:textId="77777777" w:rsidR="00A303B6" w:rsidRDefault="00150AF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Fundus abnormalities (information from the eye report)</w:t>
      </w:r>
    </w:p>
    <w:p w14:paraId="0DBEFB3C" w14:textId="77777777" w:rsidR="00A303B6" w:rsidRDefault="00150AFE">
      <w:pPr>
        <w:pStyle w:val="Heading3"/>
      </w:pPr>
      <w:r>
        <w:t>Observational Components: Motor Visual</w:t>
      </w:r>
    </w:p>
    <w:p w14:paraId="72B8DA6D" w14:textId="77777777" w:rsidR="00A303B6" w:rsidRDefault="00150A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Sunsetting</w:t>
      </w:r>
    </w:p>
    <w:p w14:paraId="38A07931" w14:textId="77777777" w:rsidR="00A303B6" w:rsidRDefault="00150A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Nystagmus</w:t>
      </w:r>
    </w:p>
    <w:p w14:paraId="7F560E5C" w14:textId="77777777" w:rsidR="00A303B6" w:rsidRDefault="00150A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Paroxysmal deviation</w:t>
      </w:r>
    </w:p>
    <w:p w14:paraId="2371DD27" w14:textId="77777777" w:rsidR="00A303B6" w:rsidRDefault="00150A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Strabismus</w:t>
      </w:r>
    </w:p>
    <w:p w14:paraId="623DF336" w14:textId="77777777" w:rsidR="00A303B6" w:rsidRDefault="00150A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Erratic eye movements</w:t>
      </w:r>
    </w:p>
    <w:p w14:paraId="7DA85AD8" w14:textId="77777777" w:rsidR="00A303B6" w:rsidRDefault="00150AFE">
      <w:pPr>
        <w:pStyle w:val="Heading3"/>
      </w:pPr>
      <w:r>
        <w:t xml:space="preserve">Observational Components: </w:t>
      </w:r>
      <w:r>
        <w:t>Perceptual</w:t>
      </w:r>
    </w:p>
    <w:p w14:paraId="3EB216D1" w14:textId="77777777" w:rsidR="00A303B6" w:rsidRDefault="00150AFE">
      <w:pPr>
        <w:pStyle w:val="Heading3"/>
      </w:pPr>
      <w:r>
        <w:t>Interactive Components: Ocular Visual</w:t>
      </w:r>
    </w:p>
    <w:p w14:paraId="51221DA0" w14:textId="77777777" w:rsidR="00A303B6" w:rsidRDefault="00150AFE">
      <w:pPr>
        <w:numPr>
          <w:ilvl w:val="0"/>
          <w:numId w:val="4"/>
        </w:numPr>
      </w:pPr>
      <w:r>
        <w:t>Pupillary light reflex</w:t>
      </w:r>
    </w:p>
    <w:p w14:paraId="24D76AD4" w14:textId="77777777" w:rsidR="00A303B6" w:rsidRDefault="00150AFE">
      <w:pPr>
        <w:numPr>
          <w:ilvl w:val="0"/>
          <w:numId w:val="4"/>
        </w:numPr>
      </w:pPr>
      <w:r>
        <w:t>Red reflex</w:t>
      </w:r>
    </w:p>
    <w:p w14:paraId="772A0979" w14:textId="77777777" w:rsidR="00A303B6" w:rsidRDefault="00150AFE">
      <w:pPr>
        <w:pStyle w:val="Heading3"/>
      </w:pPr>
      <w:r>
        <w:t>Interactive Components: Motor Visual</w:t>
      </w:r>
    </w:p>
    <w:p w14:paraId="22BA6B95" w14:textId="77777777" w:rsidR="00A303B6" w:rsidRDefault="00150AFE">
      <w:pPr>
        <w:numPr>
          <w:ilvl w:val="0"/>
          <w:numId w:val="5"/>
        </w:numPr>
      </w:pPr>
      <w:r>
        <w:t>Fixation</w:t>
      </w:r>
    </w:p>
    <w:p w14:paraId="64BDFA16" w14:textId="77777777" w:rsidR="00A303B6" w:rsidRDefault="00150AFE">
      <w:pPr>
        <w:numPr>
          <w:ilvl w:val="0"/>
          <w:numId w:val="5"/>
        </w:numPr>
      </w:pPr>
      <w:r>
        <w:t>Horizontal and vertical pursuit</w:t>
      </w:r>
    </w:p>
    <w:p w14:paraId="672FF85B" w14:textId="77777777" w:rsidR="00A303B6" w:rsidRDefault="00150AFE">
      <w:pPr>
        <w:numPr>
          <w:ilvl w:val="0"/>
          <w:numId w:val="5"/>
        </w:numPr>
      </w:pPr>
      <w:r>
        <w:t>Saccadic movements</w:t>
      </w:r>
    </w:p>
    <w:p w14:paraId="36579725" w14:textId="77777777" w:rsidR="00A303B6" w:rsidRDefault="00150AFE">
      <w:pPr>
        <w:pStyle w:val="Heading3"/>
      </w:pPr>
      <w:r>
        <w:lastRenderedPageBreak/>
        <w:t>Interactive Components: Perceptual</w:t>
      </w:r>
    </w:p>
    <w:p w14:paraId="594E4958" w14:textId="77777777" w:rsidR="00A303B6" w:rsidRDefault="00150AFE">
      <w:pPr>
        <w:numPr>
          <w:ilvl w:val="0"/>
          <w:numId w:val="6"/>
        </w:numPr>
      </w:pPr>
      <w:r>
        <w:t>Contrast sensitivity</w:t>
      </w:r>
    </w:p>
    <w:p w14:paraId="2B60AC2E" w14:textId="77777777" w:rsidR="00A303B6" w:rsidRDefault="00150AFE">
      <w:pPr>
        <w:numPr>
          <w:ilvl w:val="0"/>
          <w:numId w:val="6"/>
        </w:numPr>
      </w:pPr>
      <w:r>
        <w:t>Visual acuity</w:t>
      </w:r>
    </w:p>
    <w:p w14:paraId="36BA3A2D" w14:textId="77777777" w:rsidR="00A303B6" w:rsidRDefault="00150AFE">
      <w:pPr>
        <w:numPr>
          <w:ilvl w:val="0"/>
          <w:numId w:val="6"/>
        </w:numPr>
      </w:pPr>
      <w:r>
        <w:t>Visual</w:t>
      </w:r>
      <w:r>
        <w:t xml:space="preserve"> field</w:t>
      </w:r>
    </w:p>
    <w:p w14:paraId="2156A58B" w14:textId="77777777" w:rsidR="00A303B6" w:rsidRDefault="00150AFE">
      <w:pPr>
        <w:numPr>
          <w:ilvl w:val="0"/>
          <w:numId w:val="6"/>
        </w:numPr>
      </w:pPr>
      <w:r>
        <w:t>Optokinetic nystagmus (OKN)</w:t>
      </w:r>
    </w:p>
    <w:p w14:paraId="14198D21" w14:textId="77777777" w:rsidR="00A303B6" w:rsidRDefault="00150AFE">
      <w:pPr>
        <w:pStyle w:val="Heading3"/>
      </w:pPr>
      <w:r>
        <w:t>Scoring the NAVEG Screening</w:t>
      </w:r>
    </w:p>
    <w:p w14:paraId="3347F757" w14:textId="77777777" w:rsidR="00A303B6" w:rsidRDefault="00150A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Seven components can be completed through record review and observation. </w:t>
      </w:r>
    </w:p>
    <w:p w14:paraId="6AE8A1F7" w14:textId="77777777" w:rsidR="00A303B6" w:rsidRDefault="00150AF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non-invasive</w:t>
      </w:r>
    </w:p>
    <w:p w14:paraId="799A6701" w14:textId="77777777" w:rsidR="00A303B6" w:rsidRDefault="00150AF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simple to complete, especially when paired with the </w:t>
      </w:r>
    </w:p>
    <w:p w14:paraId="336E8F52" w14:textId="77777777" w:rsidR="00A303B6" w:rsidRDefault="00150A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NAVEG Scoring and Code Dictionary (also known as the </w:t>
      </w:r>
      <w:r>
        <w:rPr>
          <w:color w:val="000000"/>
        </w:rPr>
        <w:t>“cheat sheet”)</w:t>
      </w:r>
    </w:p>
    <w:p w14:paraId="337CFD4E" w14:textId="77777777" w:rsidR="00A303B6" w:rsidRDefault="00150AF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helps with consistent scoring.</w:t>
      </w:r>
    </w:p>
    <w:p w14:paraId="5D0E5BDF" w14:textId="77777777" w:rsidR="00A303B6" w:rsidRDefault="00150A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total score of 6 or over indicates risk and referral to an ophthalmologist.</w:t>
      </w:r>
    </w:p>
    <w:p w14:paraId="0AE75F3E" w14:textId="77777777" w:rsidR="00A303B6" w:rsidRDefault="00A303B6">
      <w:pPr>
        <w:widowControl w:val="0"/>
        <w:spacing w:after="40" w:line="276" w:lineRule="auto"/>
        <w:rPr>
          <w:sz w:val="22"/>
          <w:szCs w:val="22"/>
        </w:rPr>
      </w:pPr>
    </w:p>
    <w:p w14:paraId="693D9035" w14:textId="77777777" w:rsidR="00A303B6" w:rsidRDefault="00150AFE">
      <w:pPr>
        <w:pStyle w:val="Heading2"/>
      </w:pPr>
      <w:r>
        <w:t>NAVEG Training</w:t>
      </w:r>
    </w:p>
    <w:p w14:paraId="79D2346A" w14:textId="77777777" w:rsidR="00A303B6" w:rsidRDefault="00150AFE">
      <w:pPr>
        <w:pStyle w:val="Heading3"/>
      </w:pPr>
      <w:r>
        <w:t>What will TSBVI/Outreach NAVEG training look like?</w:t>
      </w:r>
    </w:p>
    <w:p w14:paraId="1031CDAF" w14:textId="77777777" w:rsidR="00A303B6" w:rsidRDefault="00150AFE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Currently teaming with organizations to train others to conduct t</w:t>
      </w:r>
      <w:r>
        <w:rPr>
          <w:sz w:val="22"/>
          <w:szCs w:val="22"/>
        </w:rPr>
        <w:t>he screening</w:t>
      </w:r>
    </w:p>
    <w:p w14:paraId="61AC59C3" w14:textId="77777777" w:rsidR="00A303B6" w:rsidRDefault="00150AFE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Offering training at ESCs</w:t>
      </w:r>
    </w:p>
    <w:p w14:paraId="2BFC679B" w14:textId="77777777" w:rsidR="00A303B6" w:rsidRDefault="00150AFE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Investigating opportunities to train ECI providers and medical staff</w:t>
      </w:r>
    </w:p>
    <w:p w14:paraId="0D1F7004" w14:textId="77777777" w:rsidR="00A303B6" w:rsidRDefault="00150AFE">
      <w:pPr>
        <w:pStyle w:val="Heading3"/>
      </w:pPr>
      <w:r>
        <w:t>What to Expect</w:t>
      </w:r>
    </w:p>
    <w:p w14:paraId="0A19009B" w14:textId="77777777" w:rsidR="00A303B6" w:rsidRDefault="00150AFE">
      <w:pPr>
        <w:numPr>
          <w:ilvl w:val="0"/>
          <w:numId w:val="9"/>
        </w:numPr>
      </w:pPr>
      <w:r>
        <w:t>What should you expect from these trainings?</w:t>
      </w:r>
    </w:p>
    <w:p w14:paraId="7C38E1CB" w14:textId="77777777" w:rsidR="00A303B6" w:rsidRDefault="00150AFE">
      <w:pPr>
        <w:numPr>
          <w:ilvl w:val="1"/>
          <w:numId w:val="9"/>
        </w:numPr>
      </w:pPr>
      <w:r>
        <w:t>Option 1 - training screeners</w:t>
      </w:r>
    </w:p>
    <w:p w14:paraId="2D3B1E63" w14:textId="77777777" w:rsidR="00A303B6" w:rsidRDefault="00150AFE">
      <w:pPr>
        <w:numPr>
          <w:ilvl w:val="1"/>
          <w:numId w:val="9"/>
        </w:numPr>
      </w:pPr>
      <w:r>
        <w:t>Option 2 - training of trainers</w:t>
      </w:r>
    </w:p>
    <w:p w14:paraId="50097655" w14:textId="77777777" w:rsidR="00A303B6" w:rsidRDefault="00150AFE">
      <w:pPr>
        <w:numPr>
          <w:ilvl w:val="1"/>
          <w:numId w:val="9"/>
        </w:numPr>
      </w:pPr>
      <w:r>
        <w:t>Ongoing support</w:t>
      </w:r>
    </w:p>
    <w:p w14:paraId="160D87D4" w14:textId="77777777" w:rsidR="00A303B6" w:rsidRDefault="00A303B6">
      <w:pPr>
        <w:widowControl w:val="0"/>
        <w:spacing w:after="40" w:line="276" w:lineRule="auto"/>
        <w:rPr>
          <w:sz w:val="22"/>
          <w:szCs w:val="22"/>
        </w:rPr>
      </w:pPr>
    </w:p>
    <w:p w14:paraId="2020878A" w14:textId="77777777" w:rsidR="00A303B6" w:rsidRDefault="00150AFE">
      <w:pPr>
        <w:pStyle w:val="Heading2"/>
      </w:pPr>
      <w:r>
        <w:t>Thank you</w:t>
      </w:r>
      <w:r>
        <w:t xml:space="preserve"> for joining us</w:t>
      </w:r>
    </w:p>
    <w:p w14:paraId="1AFC8377" w14:textId="77777777" w:rsidR="00A303B6" w:rsidRDefault="00150AFE">
      <w:pPr>
        <w:pStyle w:val="Heading3"/>
      </w:pPr>
      <w:r>
        <w:t>TSBVI NAVEG training team</w:t>
      </w:r>
    </w:p>
    <w:p w14:paraId="644C26E6" w14:textId="77777777" w:rsidR="00A303B6" w:rsidRDefault="00150AF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Lynne McAlister </w:t>
      </w:r>
      <w:hyperlink r:id="rId10">
        <w:r>
          <w:rPr>
            <w:color w:val="0000FF"/>
            <w:u w:val="single"/>
          </w:rPr>
          <w:t>mcalister@tsbvi.edu</w:t>
        </w:r>
      </w:hyperlink>
      <w:r>
        <w:rPr>
          <w:color w:val="000000"/>
        </w:rPr>
        <w:t xml:space="preserve"> </w:t>
      </w:r>
    </w:p>
    <w:p w14:paraId="587D2802" w14:textId="77777777" w:rsidR="00A303B6" w:rsidRDefault="00150AF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Diane Sheline </w:t>
      </w:r>
      <w:hyperlink r:id="rId11">
        <w:r>
          <w:rPr>
            <w:color w:val="0000FF"/>
            <w:sz w:val="22"/>
            <w:szCs w:val="22"/>
            <w:highlight w:val="white"/>
            <w:u w:val="single"/>
          </w:rPr>
          <w:t>strategytosee@gmail.com</w:t>
        </w:r>
      </w:hyperlink>
      <w:r>
        <w:rPr>
          <w:color w:val="1155CC"/>
          <w:sz w:val="22"/>
          <w:szCs w:val="22"/>
          <w:highlight w:val="white"/>
        </w:rPr>
        <w:t xml:space="preserve"> </w:t>
      </w:r>
    </w:p>
    <w:p w14:paraId="5474C87D" w14:textId="77777777" w:rsidR="00A303B6" w:rsidRDefault="00150AF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Hillary Keys </w:t>
      </w:r>
      <w:hyperlink r:id="rId12">
        <w:r>
          <w:rPr>
            <w:color w:val="0000FF"/>
            <w:u w:val="single"/>
          </w:rPr>
          <w:t>keysh@tsbvi.edu</w:t>
        </w:r>
      </w:hyperlink>
      <w:r>
        <w:rPr>
          <w:color w:val="000000"/>
        </w:rPr>
        <w:t xml:space="preserve"> </w:t>
      </w:r>
    </w:p>
    <w:p w14:paraId="1F3C559A" w14:textId="77777777" w:rsidR="00A303B6" w:rsidRDefault="00150AF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Emily Leeper </w:t>
      </w:r>
      <w:hyperlink r:id="rId13">
        <w:r>
          <w:rPr>
            <w:color w:val="0000FF"/>
            <w:u w:val="single"/>
          </w:rPr>
          <w:t>leepere@tsbvi.edu</w:t>
        </w:r>
      </w:hyperlink>
      <w:r>
        <w:rPr>
          <w:color w:val="000000"/>
        </w:rPr>
        <w:t xml:space="preserve"> </w:t>
      </w:r>
    </w:p>
    <w:p w14:paraId="68ACC7E4" w14:textId="77777777" w:rsidR="00A303B6" w:rsidRDefault="00A303B6"/>
    <w:p w14:paraId="477D5297" w14:textId="77777777" w:rsidR="00A303B6" w:rsidRDefault="00150AFE">
      <w:pPr>
        <w:pStyle w:val="Heading2"/>
      </w:pPr>
      <w:r>
        <w:t>References</w:t>
      </w:r>
    </w:p>
    <w:p w14:paraId="2DD63FC0" w14:textId="77777777" w:rsidR="00A303B6" w:rsidRDefault="00150A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Barnard, P. J., &amp; Teasdale, J. D. (1991). Interacting cognitive subsystems: A systemic approach to cognitive-af</w:t>
      </w:r>
      <w:r>
        <w:rPr>
          <w:color w:val="000000"/>
          <w:sz w:val="20"/>
          <w:szCs w:val="20"/>
        </w:rPr>
        <w:t xml:space="preserve">fective interaction and change. </w:t>
      </w:r>
      <w:r>
        <w:rPr>
          <w:i/>
          <w:color w:val="000000"/>
          <w:sz w:val="20"/>
          <w:szCs w:val="20"/>
        </w:rPr>
        <w:t>Cognition &amp; Emotion</w:t>
      </w:r>
      <w:r>
        <w:rPr>
          <w:color w:val="000000"/>
          <w:sz w:val="20"/>
          <w:szCs w:val="20"/>
        </w:rPr>
        <w:t xml:space="preserve">, 5(1), 1–39. </w:t>
      </w:r>
      <w:hyperlink r:id="rId14">
        <w:r>
          <w:rPr>
            <w:color w:val="0000FF"/>
            <w:sz w:val="20"/>
            <w:szCs w:val="20"/>
            <w:u w:val="single"/>
          </w:rPr>
          <w:t>https://doi.org/10.1080/02699939108411021</w:t>
        </w:r>
      </w:hyperlink>
      <w:r>
        <w:rPr>
          <w:color w:val="2A5C66"/>
          <w:sz w:val="20"/>
          <w:szCs w:val="20"/>
        </w:rPr>
        <w:t> </w:t>
      </w:r>
    </w:p>
    <w:p w14:paraId="0F587AE0" w14:textId="77777777" w:rsidR="00A303B6" w:rsidRDefault="00150AFE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Bauer, C. M., &amp; </w:t>
      </w:r>
      <w:proofErr w:type="spellStart"/>
      <w:r>
        <w:rPr>
          <w:color w:val="000000"/>
          <w:sz w:val="20"/>
          <w:szCs w:val="20"/>
        </w:rPr>
        <w:t>Papadelis</w:t>
      </w:r>
      <w:proofErr w:type="spellEnd"/>
      <w:r>
        <w:rPr>
          <w:color w:val="000000"/>
          <w:sz w:val="20"/>
          <w:szCs w:val="20"/>
        </w:rPr>
        <w:t xml:space="preserve">, C. (2019). Alterations in the Structural and Functional Connectivity of the Visuomotor Network of Children </w:t>
      </w:r>
      <w:proofErr w:type="gramStart"/>
      <w:r>
        <w:rPr>
          <w:color w:val="000000"/>
          <w:sz w:val="20"/>
          <w:szCs w:val="20"/>
        </w:rPr>
        <w:t>With</w:t>
      </w:r>
      <w:proofErr w:type="gramEnd"/>
      <w:r>
        <w:rPr>
          <w:color w:val="000000"/>
          <w:sz w:val="20"/>
          <w:szCs w:val="20"/>
        </w:rPr>
        <w:t xml:space="preserve"> Periventricular Leukomalacia. </w:t>
      </w:r>
      <w:r>
        <w:rPr>
          <w:i/>
          <w:color w:val="000000"/>
          <w:sz w:val="20"/>
          <w:szCs w:val="20"/>
        </w:rPr>
        <w:t>Seminars in Pediatric Neurology</w:t>
      </w:r>
      <w:r>
        <w:rPr>
          <w:color w:val="000000"/>
          <w:sz w:val="20"/>
          <w:szCs w:val="20"/>
        </w:rPr>
        <w:t xml:space="preserve">, 31, 48–56. </w:t>
      </w:r>
      <w:hyperlink r:id="rId15">
        <w:r>
          <w:rPr>
            <w:color w:val="0000FF"/>
            <w:sz w:val="20"/>
            <w:szCs w:val="20"/>
            <w:u w:val="single"/>
          </w:rPr>
          <w:t>https:</w:t>
        </w:r>
        <w:r>
          <w:rPr>
            <w:color w:val="0000FF"/>
            <w:sz w:val="20"/>
            <w:szCs w:val="20"/>
            <w:u w:val="single"/>
          </w:rPr>
          <w:t>//doi.org/10.1016/j.spen.2019.05.009</w:t>
        </w:r>
      </w:hyperlink>
      <w:r>
        <w:rPr>
          <w:color w:val="2A5C66"/>
          <w:sz w:val="20"/>
          <w:szCs w:val="20"/>
        </w:rPr>
        <w:t> </w:t>
      </w:r>
    </w:p>
    <w:p w14:paraId="506E99D9" w14:textId="77777777" w:rsidR="00A303B6" w:rsidRDefault="00150AFE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Boonstra, F. N., Bosch, D. G. M., Geldof, C. J. A., Stellingwerf, C., &amp; Porro, G. (2022). The Multidisciplinary Guidelines for Diagnosis and Referral in Cerebral Visual Impairment. </w:t>
      </w:r>
      <w:r>
        <w:rPr>
          <w:i/>
          <w:color w:val="000000"/>
          <w:sz w:val="20"/>
          <w:szCs w:val="20"/>
        </w:rPr>
        <w:t>Frontiers in Human Neuroscience</w:t>
      </w:r>
      <w:r>
        <w:rPr>
          <w:color w:val="000000"/>
          <w:sz w:val="20"/>
          <w:szCs w:val="20"/>
        </w:rPr>
        <w:t xml:space="preserve">, 16. </w:t>
      </w:r>
      <w:hyperlink r:id="rId16">
        <w:r>
          <w:rPr>
            <w:color w:val="0000FF"/>
            <w:sz w:val="20"/>
            <w:szCs w:val="20"/>
            <w:u w:val="single"/>
          </w:rPr>
          <w:t>https://www.frontiersin.org/articles/10.3389/fnhum.2022.727565</w:t>
        </w:r>
      </w:hyperlink>
      <w:r>
        <w:rPr>
          <w:color w:val="2A5C66"/>
          <w:sz w:val="20"/>
          <w:szCs w:val="20"/>
        </w:rPr>
        <w:t> </w:t>
      </w:r>
    </w:p>
    <w:p w14:paraId="3E10F5B2" w14:textId="77777777" w:rsidR="00A303B6" w:rsidRDefault="00150AFE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Dehaene-Lambertz, G., &amp; </w:t>
      </w:r>
      <w:proofErr w:type="spellStart"/>
      <w:r>
        <w:rPr>
          <w:color w:val="000000"/>
          <w:sz w:val="20"/>
          <w:szCs w:val="20"/>
        </w:rPr>
        <w:t>Spelke</w:t>
      </w:r>
      <w:proofErr w:type="spellEnd"/>
      <w:r>
        <w:rPr>
          <w:color w:val="000000"/>
          <w:sz w:val="20"/>
          <w:szCs w:val="20"/>
        </w:rPr>
        <w:t xml:space="preserve">, E. S. (2015). The Infancy of the Human Brain. </w:t>
      </w:r>
      <w:r>
        <w:rPr>
          <w:i/>
          <w:color w:val="000000"/>
          <w:sz w:val="20"/>
          <w:szCs w:val="20"/>
        </w:rPr>
        <w:t>Neuron</w:t>
      </w:r>
      <w:r>
        <w:rPr>
          <w:color w:val="000000"/>
          <w:sz w:val="20"/>
          <w:szCs w:val="20"/>
        </w:rPr>
        <w:t>, 88(1), 93–109.</w:t>
      </w:r>
      <w:r>
        <w:rPr>
          <w:color w:val="2A5C66"/>
          <w:sz w:val="20"/>
          <w:szCs w:val="20"/>
        </w:rPr>
        <w:t xml:space="preserve"> </w:t>
      </w:r>
      <w:hyperlink r:id="rId17">
        <w:r>
          <w:rPr>
            <w:color w:val="0000FF"/>
            <w:sz w:val="20"/>
            <w:szCs w:val="20"/>
            <w:u w:val="single"/>
          </w:rPr>
          <w:t>https://doi.org/10.1016/j.neuron.2015.09.026</w:t>
        </w:r>
      </w:hyperlink>
      <w:r>
        <w:rPr>
          <w:color w:val="2A5C66"/>
          <w:sz w:val="20"/>
          <w:szCs w:val="20"/>
        </w:rPr>
        <w:t> </w:t>
      </w:r>
    </w:p>
    <w:p w14:paraId="2BAE7BAA" w14:textId="77777777" w:rsidR="00A303B6" w:rsidRDefault="00150AFE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DeMaster, D., Bick, J., Johnson, U., Montroy, J. J., Landry, S., &amp; Duncan, A. F. (2019). Nurturing the preterm infant brain: Leveraging neuroplasticity to </w:t>
      </w:r>
      <w:r>
        <w:rPr>
          <w:color w:val="000000"/>
          <w:sz w:val="20"/>
          <w:szCs w:val="20"/>
        </w:rPr>
        <w:t xml:space="preserve">improve neurobehavioral outcomes. </w:t>
      </w:r>
      <w:r>
        <w:rPr>
          <w:i/>
          <w:color w:val="000000"/>
          <w:sz w:val="20"/>
          <w:szCs w:val="20"/>
        </w:rPr>
        <w:t>Pediatric Research</w:t>
      </w:r>
      <w:r>
        <w:rPr>
          <w:color w:val="000000"/>
          <w:sz w:val="20"/>
          <w:szCs w:val="20"/>
        </w:rPr>
        <w:t xml:space="preserve">, 85(2), 166–175. </w:t>
      </w:r>
      <w:hyperlink r:id="rId18">
        <w:r>
          <w:rPr>
            <w:color w:val="0000FF"/>
            <w:sz w:val="20"/>
            <w:szCs w:val="20"/>
            <w:u w:val="single"/>
          </w:rPr>
          <w:t>http://dx.doi.org/10.1038/s41390-018-0203-9</w:t>
        </w:r>
      </w:hyperlink>
      <w:r>
        <w:rPr>
          <w:color w:val="2A5C66"/>
          <w:sz w:val="20"/>
          <w:szCs w:val="20"/>
        </w:rPr>
        <w:t> </w:t>
      </w:r>
    </w:p>
    <w:p w14:paraId="5FCB05F8" w14:textId="77777777" w:rsidR="00A303B6" w:rsidRDefault="00150AFE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Lowery, R. S. (2006). Cryptic cerebral visual impairment in children. </w:t>
      </w:r>
      <w:r>
        <w:rPr>
          <w:i/>
          <w:color w:val="000000"/>
          <w:sz w:val="20"/>
          <w:szCs w:val="20"/>
        </w:rPr>
        <w:t xml:space="preserve">British </w:t>
      </w:r>
      <w:r>
        <w:rPr>
          <w:i/>
          <w:color w:val="000000"/>
          <w:sz w:val="20"/>
          <w:szCs w:val="20"/>
        </w:rPr>
        <w:t>Journal of Ophthalmology</w:t>
      </w:r>
      <w:r>
        <w:rPr>
          <w:color w:val="000000"/>
          <w:sz w:val="20"/>
          <w:szCs w:val="20"/>
        </w:rPr>
        <w:t xml:space="preserve">, 90(8), 960–963. </w:t>
      </w:r>
      <w:hyperlink r:id="rId19">
        <w:r>
          <w:rPr>
            <w:color w:val="0000FF"/>
            <w:sz w:val="20"/>
            <w:szCs w:val="20"/>
            <w:u w:val="single"/>
          </w:rPr>
          <w:t>https://doi.org/10.1136/bjo.2006.094250</w:t>
        </w:r>
      </w:hyperlink>
      <w:r>
        <w:rPr>
          <w:color w:val="2A5C66"/>
          <w:sz w:val="20"/>
          <w:szCs w:val="20"/>
        </w:rPr>
        <w:t> </w:t>
      </w:r>
    </w:p>
    <w:p w14:paraId="0AB0D370" w14:textId="77777777" w:rsidR="00A303B6" w:rsidRDefault="00150AFE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Micheletti, S., Merabet, L. B., Galli, J., &amp; Fazzi, E. (2023). Visual intervention in early onset visual impairmen</w:t>
      </w:r>
      <w:r>
        <w:rPr>
          <w:color w:val="000000"/>
          <w:sz w:val="20"/>
          <w:szCs w:val="20"/>
        </w:rPr>
        <w:t xml:space="preserve">t: A review. </w:t>
      </w:r>
      <w:r>
        <w:rPr>
          <w:i/>
          <w:color w:val="000000"/>
          <w:sz w:val="20"/>
          <w:szCs w:val="20"/>
        </w:rPr>
        <w:t>European Journal of Neuroscience</w:t>
      </w:r>
      <w:r>
        <w:rPr>
          <w:color w:val="000000"/>
          <w:sz w:val="20"/>
          <w:szCs w:val="20"/>
        </w:rPr>
        <w:t xml:space="preserve">, 57(12), 1998–2016. </w:t>
      </w:r>
      <w:hyperlink r:id="rId20">
        <w:r>
          <w:rPr>
            <w:color w:val="0000FF"/>
            <w:sz w:val="20"/>
            <w:szCs w:val="20"/>
            <w:u w:val="single"/>
          </w:rPr>
          <w:t>https://doi.org/10.1111/ejn.15841</w:t>
        </w:r>
      </w:hyperlink>
      <w:r>
        <w:rPr>
          <w:color w:val="2A5C66"/>
          <w:sz w:val="20"/>
          <w:szCs w:val="20"/>
        </w:rPr>
        <w:t> </w:t>
      </w:r>
    </w:p>
    <w:p w14:paraId="3CAC2915" w14:textId="77777777" w:rsidR="00A303B6" w:rsidRDefault="00150AFE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National Research Council. 2000. </w:t>
      </w:r>
      <w:r>
        <w:rPr>
          <w:i/>
          <w:sz w:val="20"/>
          <w:szCs w:val="20"/>
        </w:rPr>
        <w:t>From Neurons to Neighborhoods: The Science of Early Childhood Develop</w:t>
      </w:r>
      <w:r>
        <w:rPr>
          <w:i/>
          <w:sz w:val="20"/>
          <w:szCs w:val="20"/>
        </w:rPr>
        <w:t>ment.</w:t>
      </w:r>
      <w:r>
        <w:rPr>
          <w:sz w:val="20"/>
          <w:szCs w:val="20"/>
        </w:rPr>
        <w:t xml:space="preserve"> Washington, DC: The National Academies Press. </w:t>
      </w:r>
      <w:hyperlink r:id="rId21">
        <w:r>
          <w:rPr>
            <w:color w:val="0000FF"/>
            <w:sz w:val="20"/>
            <w:szCs w:val="20"/>
            <w:u w:val="single"/>
          </w:rPr>
          <w:t>https://doi.org/10.17226/9824</w:t>
        </w:r>
      </w:hyperlink>
      <w:r>
        <w:rPr>
          <w:sz w:val="20"/>
          <w:szCs w:val="20"/>
        </w:rPr>
        <w:t xml:space="preserve">. </w:t>
      </w:r>
    </w:p>
    <w:p w14:paraId="33B0E9B7" w14:textId="77777777" w:rsidR="00A303B6" w:rsidRDefault="00150AFE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Ortibus</w:t>
      </w:r>
      <w:proofErr w:type="spellEnd"/>
      <w:r>
        <w:rPr>
          <w:color w:val="000000"/>
          <w:sz w:val="20"/>
          <w:szCs w:val="20"/>
        </w:rPr>
        <w:t xml:space="preserve">, E., Fazzi, E., &amp; Dale, N. (2019). Cerebral visual impairment and clinical assessment: The </w:t>
      </w:r>
      <w:proofErr w:type="spellStart"/>
      <w:r>
        <w:rPr>
          <w:color w:val="000000"/>
          <w:sz w:val="20"/>
          <w:szCs w:val="20"/>
        </w:rPr>
        <w:t>european</w:t>
      </w:r>
      <w:proofErr w:type="spellEnd"/>
      <w:r>
        <w:rPr>
          <w:color w:val="000000"/>
          <w:sz w:val="20"/>
          <w:szCs w:val="20"/>
        </w:rPr>
        <w:t xml:space="preserve"> perspective. </w:t>
      </w:r>
      <w:r>
        <w:rPr>
          <w:i/>
          <w:color w:val="000000"/>
          <w:sz w:val="20"/>
          <w:szCs w:val="20"/>
        </w:rPr>
        <w:t>Se</w:t>
      </w:r>
      <w:r>
        <w:rPr>
          <w:i/>
          <w:color w:val="000000"/>
          <w:sz w:val="20"/>
          <w:szCs w:val="20"/>
        </w:rPr>
        <w:t>minars in Pediatric Neurology</w:t>
      </w:r>
      <w:r>
        <w:rPr>
          <w:color w:val="000000"/>
          <w:sz w:val="20"/>
          <w:szCs w:val="20"/>
        </w:rPr>
        <w:t xml:space="preserve">, 31, 15–24. </w:t>
      </w:r>
      <w:hyperlink r:id="rId22">
        <w:r>
          <w:rPr>
            <w:color w:val="0000FF"/>
            <w:sz w:val="20"/>
            <w:szCs w:val="20"/>
            <w:u w:val="single"/>
          </w:rPr>
          <w:t>https://doi.org/10.1016/j.spen.2019.05.004</w:t>
        </w:r>
      </w:hyperlink>
      <w:r>
        <w:rPr>
          <w:color w:val="2A5C66"/>
          <w:sz w:val="20"/>
          <w:szCs w:val="20"/>
        </w:rPr>
        <w:t> </w:t>
      </w:r>
    </w:p>
    <w:p w14:paraId="2502D837" w14:textId="77777777" w:rsidR="00A303B6" w:rsidRDefault="00150AFE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Rossi, A., </w:t>
      </w:r>
      <w:proofErr w:type="spellStart"/>
      <w:r>
        <w:rPr>
          <w:color w:val="000000"/>
          <w:sz w:val="20"/>
          <w:szCs w:val="20"/>
        </w:rPr>
        <w:t>Gnesi</w:t>
      </w:r>
      <w:proofErr w:type="spellEnd"/>
      <w:r>
        <w:rPr>
          <w:color w:val="000000"/>
          <w:sz w:val="20"/>
          <w:szCs w:val="20"/>
        </w:rPr>
        <w:t xml:space="preserve">, M., </w:t>
      </w:r>
      <w:proofErr w:type="spellStart"/>
      <w:r>
        <w:rPr>
          <w:color w:val="000000"/>
          <w:sz w:val="20"/>
          <w:szCs w:val="20"/>
        </w:rPr>
        <w:t>Montomoli</w:t>
      </w:r>
      <w:proofErr w:type="spellEnd"/>
      <w:r>
        <w:rPr>
          <w:color w:val="000000"/>
          <w:sz w:val="20"/>
          <w:szCs w:val="20"/>
        </w:rPr>
        <w:t xml:space="preserve">, C., Chirico, G., Malerba, L., Merabet, L. B., &amp; Fazzi, E. (2017). Neonatal </w:t>
      </w:r>
      <w:r>
        <w:rPr>
          <w:color w:val="000000"/>
          <w:sz w:val="20"/>
          <w:szCs w:val="20"/>
        </w:rPr>
        <w:t xml:space="preserve">assessment visual </w:t>
      </w:r>
      <w:proofErr w:type="spellStart"/>
      <w:r>
        <w:rPr>
          <w:color w:val="000000"/>
          <w:sz w:val="20"/>
          <w:szCs w:val="20"/>
        </w:rPr>
        <w:t>european</w:t>
      </w:r>
      <w:proofErr w:type="spellEnd"/>
      <w:r>
        <w:rPr>
          <w:color w:val="000000"/>
          <w:sz w:val="20"/>
          <w:szCs w:val="20"/>
        </w:rPr>
        <w:t xml:space="preserve"> grid (</w:t>
      </w:r>
      <w:proofErr w:type="spellStart"/>
      <w:r>
        <w:rPr>
          <w:color w:val="000000"/>
          <w:sz w:val="20"/>
          <w:szCs w:val="20"/>
        </w:rPr>
        <w:t>naveg</w:t>
      </w:r>
      <w:proofErr w:type="spellEnd"/>
      <w:r>
        <w:rPr>
          <w:color w:val="000000"/>
          <w:sz w:val="20"/>
          <w:szCs w:val="20"/>
        </w:rPr>
        <w:t xml:space="preserve">): Unveiling neurological risk. </w:t>
      </w:r>
      <w:r>
        <w:rPr>
          <w:i/>
          <w:color w:val="000000"/>
          <w:sz w:val="20"/>
          <w:szCs w:val="20"/>
        </w:rPr>
        <w:t>Infant Behavior and Development</w:t>
      </w:r>
      <w:r>
        <w:rPr>
          <w:color w:val="000000"/>
          <w:sz w:val="20"/>
          <w:szCs w:val="20"/>
        </w:rPr>
        <w:t>, 49, 21–30.</w:t>
      </w:r>
      <w:r>
        <w:rPr>
          <w:color w:val="2A5C66"/>
          <w:sz w:val="20"/>
          <w:szCs w:val="20"/>
        </w:rPr>
        <w:t xml:space="preserve"> </w:t>
      </w:r>
      <w:hyperlink r:id="rId23">
        <w:r>
          <w:rPr>
            <w:color w:val="0000FF"/>
            <w:sz w:val="20"/>
            <w:szCs w:val="20"/>
            <w:u w:val="single"/>
          </w:rPr>
          <w:t>https://doi.org/10.1016/j.infbeh.2017.06.002</w:t>
        </w:r>
      </w:hyperlink>
      <w:r>
        <w:rPr>
          <w:color w:val="2A5C66"/>
          <w:sz w:val="20"/>
          <w:szCs w:val="20"/>
        </w:rPr>
        <w:t> </w:t>
      </w:r>
    </w:p>
    <w:p w14:paraId="792D7B70" w14:textId="77777777" w:rsidR="00A303B6" w:rsidRDefault="00150AFE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Sakki, H. E. A., Dale, N. J., Sa</w:t>
      </w:r>
      <w:r>
        <w:rPr>
          <w:color w:val="000000"/>
          <w:sz w:val="20"/>
          <w:szCs w:val="20"/>
        </w:rPr>
        <w:t xml:space="preserve">rgent, J., Perez-Roche, T., &amp; Bowman, R. (2018). Is there consensus in defining childhood cerebral visual impairment? A systematic review of terminology and definitions. </w:t>
      </w:r>
      <w:r>
        <w:rPr>
          <w:i/>
          <w:color w:val="000000"/>
          <w:sz w:val="20"/>
          <w:szCs w:val="20"/>
        </w:rPr>
        <w:t>British Journal of Ophthalmology</w:t>
      </w:r>
      <w:r>
        <w:rPr>
          <w:color w:val="000000"/>
          <w:sz w:val="20"/>
          <w:szCs w:val="20"/>
        </w:rPr>
        <w:t xml:space="preserve">, 102(4), 424. </w:t>
      </w:r>
      <w:hyperlink r:id="rId24">
        <w:r>
          <w:rPr>
            <w:color w:val="0000FF"/>
            <w:sz w:val="20"/>
            <w:szCs w:val="20"/>
            <w:u w:val="single"/>
          </w:rPr>
          <w:t>http://dx.doi.org.unco.idm.oclc.org/10.1136/bjophthalmol-2017-310694</w:t>
        </w:r>
      </w:hyperlink>
      <w:r>
        <w:rPr>
          <w:color w:val="2A5C66"/>
          <w:sz w:val="20"/>
          <w:szCs w:val="20"/>
        </w:rPr>
        <w:t> </w:t>
      </w:r>
    </w:p>
    <w:p w14:paraId="60E56023" w14:textId="77777777" w:rsidR="00A303B6" w:rsidRDefault="00150AFE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rPr>
          <w:color w:val="000000"/>
          <w:sz w:val="20"/>
          <w:szCs w:val="20"/>
        </w:rPr>
        <w:t xml:space="preserve">Yang, J., Kanazawa, S., Yamaguchi, M. K., &amp; </w:t>
      </w:r>
      <w:proofErr w:type="spellStart"/>
      <w:r>
        <w:rPr>
          <w:color w:val="000000"/>
          <w:sz w:val="20"/>
          <w:szCs w:val="20"/>
        </w:rPr>
        <w:t>Motoyoshi</w:t>
      </w:r>
      <w:proofErr w:type="spellEnd"/>
      <w:r>
        <w:rPr>
          <w:color w:val="000000"/>
          <w:sz w:val="20"/>
          <w:szCs w:val="20"/>
        </w:rPr>
        <w:t xml:space="preserve">, I. (2015). Pre-constancy Vision in Infants. </w:t>
      </w:r>
      <w:r>
        <w:rPr>
          <w:i/>
          <w:color w:val="000000"/>
          <w:sz w:val="20"/>
          <w:szCs w:val="20"/>
        </w:rPr>
        <w:t>Current Biology</w:t>
      </w:r>
      <w:r>
        <w:rPr>
          <w:color w:val="000000"/>
          <w:sz w:val="20"/>
          <w:szCs w:val="20"/>
        </w:rPr>
        <w:t xml:space="preserve">, 25(24), 3209–3212. </w:t>
      </w:r>
      <w:hyperlink r:id="rId25">
        <w:r>
          <w:rPr>
            <w:color w:val="0000FF"/>
            <w:sz w:val="20"/>
            <w:szCs w:val="20"/>
            <w:u w:val="single"/>
          </w:rPr>
          <w:t>https://doi.org/10.1016/j.cub.2015.10.053</w:t>
        </w:r>
      </w:hyperlink>
      <w:r>
        <w:rPr>
          <w:color w:val="2A5C66"/>
          <w:sz w:val="20"/>
          <w:szCs w:val="20"/>
        </w:rPr>
        <w:t> </w:t>
      </w:r>
    </w:p>
    <w:sectPr w:rsidR="00A303B6" w:rsidSect="007A7D3F">
      <w:footerReference w:type="default" r:id="rId26"/>
      <w:headerReference w:type="first" r:id="rId27"/>
      <w:footerReference w:type="first" r:id="rId28"/>
      <w:pgSz w:w="12240" w:h="15840"/>
      <w:pgMar w:top="360" w:right="1440" w:bottom="1440" w:left="1440" w:header="0" w:footer="2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1CE98" w14:textId="77777777" w:rsidR="00150AFE" w:rsidRDefault="00150AFE">
      <w:r>
        <w:separator/>
      </w:r>
    </w:p>
  </w:endnote>
  <w:endnote w:type="continuationSeparator" w:id="0">
    <w:p w14:paraId="193B60D1" w14:textId="77777777" w:rsidR="00150AFE" w:rsidRDefault="0015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1455B" w14:textId="777BD982" w:rsidR="00A303B6" w:rsidRDefault="00150AFE">
    <w:r>
      <w:fldChar w:fldCharType="begin"/>
    </w:r>
    <w:r>
      <w:instrText>PAGE</w:instrText>
    </w:r>
    <w:r>
      <w:fldChar w:fldCharType="separate"/>
    </w:r>
    <w:r w:rsidR="0025518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2872" w14:textId="77777777" w:rsidR="00A303B6" w:rsidRDefault="00150A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1</w:t>
    </w:r>
  </w:p>
  <w:p w14:paraId="3CC2893D" w14:textId="77777777" w:rsidR="00A303B6" w:rsidRDefault="00A303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817A3" w14:textId="77777777" w:rsidR="00150AFE" w:rsidRDefault="00150AFE">
      <w:r>
        <w:separator/>
      </w:r>
    </w:p>
  </w:footnote>
  <w:footnote w:type="continuationSeparator" w:id="0">
    <w:p w14:paraId="09F45F33" w14:textId="77777777" w:rsidR="00150AFE" w:rsidRDefault="00150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46571" w14:textId="62F260D9" w:rsidR="00A303B6" w:rsidRDefault="00A303B6" w:rsidP="002551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1A8E"/>
    <w:multiLevelType w:val="multilevel"/>
    <w:tmpl w:val="E9DC2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A94142"/>
    <w:multiLevelType w:val="multilevel"/>
    <w:tmpl w:val="6E9A8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1E654C"/>
    <w:multiLevelType w:val="multilevel"/>
    <w:tmpl w:val="E58A9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7C63B06"/>
    <w:multiLevelType w:val="multilevel"/>
    <w:tmpl w:val="47FAB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152386"/>
    <w:multiLevelType w:val="multilevel"/>
    <w:tmpl w:val="EE1AE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32A47AC"/>
    <w:multiLevelType w:val="multilevel"/>
    <w:tmpl w:val="C94C0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7A2A71"/>
    <w:multiLevelType w:val="multilevel"/>
    <w:tmpl w:val="C6EA7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767997"/>
    <w:multiLevelType w:val="multilevel"/>
    <w:tmpl w:val="F63C0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B07454C"/>
    <w:multiLevelType w:val="multilevel"/>
    <w:tmpl w:val="5D3AE7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0E2698D"/>
    <w:multiLevelType w:val="multilevel"/>
    <w:tmpl w:val="0F26A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8243FD"/>
    <w:multiLevelType w:val="multilevel"/>
    <w:tmpl w:val="E0EC4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13436B"/>
    <w:multiLevelType w:val="multilevel"/>
    <w:tmpl w:val="3200A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57B25A1"/>
    <w:multiLevelType w:val="multilevel"/>
    <w:tmpl w:val="A66AD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5F30C58"/>
    <w:multiLevelType w:val="multilevel"/>
    <w:tmpl w:val="6BB80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DFC6011"/>
    <w:multiLevelType w:val="multilevel"/>
    <w:tmpl w:val="5F129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F2D57C6"/>
    <w:multiLevelType w:val="multilevel"/>
    <w:tmpl w:val="F8C891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8C55D5"/>
    <w:multiLevelType w:val="multilevel"/>
    <w:tmpl w:val="35E28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7"/>
  </w:num>
  <w:num w:numId="5">
    <w:abstractNumId w:val="8"/>
  </w:num>
  <w:num w:numId="6">
    <w:abstractNumId w:val="14"/>
  </w:num>
  <w:num w:numId="7">
    <w:abstractNumId w:val="4"/>
  </w:num>
  <w:num w:numId="8">
    <w:abstractNumId w:val="2"/>
  </w:num>
  <w:num w:numId="9">
    <w:abstractNumId w:val="11"/>
  </w:num>
  <w:num w:numId="10">
    <w:abstractNumId w:val="3"/>
  </w:num>
  <w:num w:numId="11">
    <w:abstractNumId w:val="1"/>
  </w:num>
  <w:num w:numId="12">
    <w:abstractNumId w:val="6"/>
  </w:num>
  <w:num w:numId="13">
    <w:abstractNumId w:val="13"/>
  </w:num>
  <w:num w:numId="14">
    <w:abstractNumId w:val="12"/>
  </w:num>
  <w:num w:numId="15">
    <w:abstractNumId w:val="0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B6"/>
    <w:rsid w:val="00150AFE"/>
    <w:rsid w:val="0025518F"/>
    <w:rsid w:val="007069D2"/>
    <w:rsid w:val="007254AE"/>
    <w:rsid w:val="007A7D3F"/>
    <w:rsid w:val="00A303B6"/>
    <w:rsid w:val="00BB16F6"/>
    <w:rsid w:val="00E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70BC8"/>
  <w15:docId w15:val="{1716C075-3311-4A79-8CD5-133D1247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20" w:after="120"/>
      <w:jc w:val="center"/>
      <w:outlineLvl w:val="0"/>
    </w:pPr>
    <w:rPr>
      <w:sz w:val="56"/>
      <w:szCs w:val="5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after="60"/>
      <w:outlineLvl w:val="1"/>
    </w:pPr>
    <w:rPr>
      <w:color w:val="861714"/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120"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F1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DB7"/>
  </w:style>
  <w:style w:type="paragraph" w:styleId="Footer">
    <w:name w:val="footer"/>
    <w:basedOn w:val="Normal"/>
    <w:link w:val="FooterChar"/>
    <w:uiPriority w:val="99"/>
    <w:unhideWhenUsed/>
    <w:rsid w:val="00CF1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DB7"/>
  </w:style>
  <w:style w:type="paragraph" w:styleId="ListParagraph">
    <w:name w:val="List Paragraph"/>
    <w:basedOn w:val="Normal"/>
    <w:uiPriority w:val="34"/>
    <w:qFormat/>
    <w:rsid w:val="00636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9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E19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90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spacing w:after="24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leepere@tsbvi.edu" TargetMode="External"/><Relationship Id="rId18" Type="http://schemas.openxmlformats.org/officeDocument/2006/relationships/hyperlink" Target="http://dx.doi.org/10.1038/s41390-018-0203-9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i.org/10.17226/9824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eysh@tsbvi.edu" TargetMode="External"/><Relationship Id="rId17" Type="http://schemas.openxmlformats.org/officeDocument/2006/relationships/hyperlink" Target="https://doi.org/10.1016/j.neuron.2015.09.026" TargetMode="External"/><Relationship Id="rId25" Type="http://schemas.openxmlformats.org/officeDocument/2006/relationships/hyperlink" Target="https://doi.org/10.1016/j.cub.2015.10.0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rontiersin.org/articles/10.3389/fnhum.2022.727565" TargetMode="External"/><Relationship Id="rId20" Type="http://schemas.openxmlformats.org/officeDocument/2006/relationships/hyperlink" Target="https://doi.org/10.1111/ejn.1584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ategytosee@gmail.com" TargetMode="External"/><Relationship Id="rId24" Type="http://schemas.openxmlformats.org/officeDocument/2006/relationships/hyperlink" Target="http://dx.doi.org.unco.idm.oclc.org/10.1136/bjophthalmol-2017-3106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spen.2019.05.009" TargetMode="External"/><Relationship Id="rId23" Type="http://schemas.openxmlformats.org/officeDocument/2006/relationships/hyperlink" Target="https://doi.org/10.1016/j.infbeh.2017.06.002" TargetMode="External"/><Relationship Id="rId28" Type="http://schemas.openxmlformats.org/officeDocument/2006/relationships/footer" Target="footer2.xml"/><Relationship Id="rId10" Type="http://schemas.openxmlformats.org/officeDocument/2006/relationships/hyperlink" Target="mailto:mcalister@tsbvi.edu" TargetMode="External"/><Relationship Id="rId19" Type="http://schemas.openxmlformats.org/officeDocument/2006/relationships/hyperlink" Target="https://doi.org/10.1136/bjo.2006.0942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sbvi.edu" TargetMode="External"/><Relationship Id="rId14" Type="http://schemas.openxmlformats.org/officeDocument/2006/relationships/hyperlink" Target="https://doi.org/10.1080/02699939108411021" TargetMode="External"/><Relationship Id="rId22" Type="http://schemas.openxmlformats.org/officeDocument/2006/relationships/hyperlink" Target="https://doi.org/10.1016/j.spen.2019.05.004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9et7ij0jPaylnBCTvWwF/cDafw==">CgMxLjAyDmguYXFtZzdueXdydTliMg5oLnUxMGlyZXVuenduNzIOaC5hOXRsbGhsNHcycTQyDmgueXp5ZXJyd3RpanZ2Mg5oLm81dGV0ejVmcnRmejIOaC4xNHg5cnd6aHliZ2syDWguMXNvNHFya3BzOHU4AHIhMUxoQnJ0LTdsVWphTXp4enZGR2RoUG1uUkhQWVhva2I1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1246</Words>
  <Characters>7104</Characters>
  <Application>Microsoft Office Word</Application>
  <DocSecurity>0</DocSecurity>
  <Lines>59</Lines>
  <Paragraphs>16</Paragraphs>
  <ScaleCrop>false</ScaleCrop>
  <Company>Texas School for the Blind and Visually Impaired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 Keys</dc:creator>
  <cp:lastModifiedBy>Microsoft Office User</cp:lastModifiedBy>
  <cp:revision>3</cp:revision>
  <dcterms:created xsi:type="dcterms:W3CDTF">2025-10-06T16:38:00Z</dcterms:created>
  <dcterms:modified xsi:type="dcterms:W3CDTF">2025-10-06T16:40:00Z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d117ef5a5d841e5fe99541b07c0a2ea63e58785a901bb3b664f4a7ed08aae860</vt:lpwstr>
  </property>
</Properties>
</file>