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88" w:rsidRPr="001F0688" w:rsidRDefault="001F0688" w:rsidP="001F0688">
      <w:pPr>
        <w:pStyle w:val="Title"/>
      </w:pPr>
      <w:r w:rsidRPr="001F0688">
        <w:t>Low Vision and the ECC: Compensatory Access Skills</w:t>
      </w:r>
    </w:p>
    <w:p w:rsidR="001F0688" w:rsidRPr="001F0688" w:rsidRDefault="001F0688" w:rsidP="001F0688">
      <w:pPr>
        <w:pStyle w:val="NoSpacing"/>
      </w:pPr>
      <w:r w:rsidRPr="001F0688">
        <w:t>Chrissy Cowan, M.Ed., TVI</w:t>
      </w:r>
    </w:p>
    <w:p w:rsidR="001F0688" w:rsidRPr="001F0688" w:rsidRDefault="001F0688" w:rsidP="001F0688">
      <w:pPr>
        <w:pStyle w:val="NoSpacing"/>
      </w:pPr>
      <w:r w:rsidRPr="001F0688">
        <w:t>TSBVI Outreach Department</w:t>
      </w:r>
    </w:p>
    <w:p w:rsidR="001F0688" w:rsidRDefault="001F0688" w:rsidP="001F0688">
      <w:pPr>
        <w:pStyle w:val="NoSpacing"/>
      </w:pPr>
      <w:r w:rsidRPr="001F0688">
        <w:t>April 15, 2024</w:t>
      </w:r>
    </w:p>
    <w:p w:rsidR="001F0688" w:rsidRPr="001F0688" w:rsidRDefault="001F0688" w:rsidP="001F0688">
      <w:pPr>
        <w:pStyle w:val="NoSpacing"/>
      </w:pPr>
    </w:p>
    <w:p w:rsidR="001F0688" w:rsidRPr="001F0688" w:rsidRDefault="001F0688" w:rsidP="001F0688">
      <w:pPr>
        <w:pStyle w:val="Heading1"/>
      </w:pPr>
      <w:r w:rsidRPr="001F0688">
        <w:rPr>
          <w:rFonts w:eastAsiaTheme="majorEastAsia"/>
        </w:rPr>
        <w:t>Compensatory access skills are….</w:t>
      </w:r>
    </w:p>
    <w:p w:rsidR="001F0688" w:rsidRDefault="001F0688" w:rsidP="001F0688">
      <w:pPr>
        <w:pStyle w:val="Heading2"/>
      </w:pPr>
      <w:r w:rsidRPr="001F0688">
        <w:t xml:space="preserve">Skills needed for accessing the core </w:t>
      </w:r>
      <w:r w:rsidR="001E2D92">
        <w:t>and expanded core curricula</w:t>
      </w:r>
      <w:r w:rsidRPr="001F0688">
        <w:t>, including typically:</w:t>
      </w:r>
    </w:p>
    <w:p w:rsidR="001F0688" w:rsidRPr="001F0688" w:rsidRDefault="001F0688" w:rsidP="001F0688"/>
    <w:p w:rsidR="001F0688" w:rsidRPr="001F0688" w:rsidRDefault="001F0688" w:rsidP="001F0688">
      <w:pPr>
        <w:pStyle w:val="NoSpacing"/>
        <w:numPr>
          <w:ilvl w:val="0"/>
          <w:numId w:val="2"/>
        </w:numPr>
      </w:pPr>
      <w:r w:rsidRPr="001F0688">
        <w:t>study and organizational skills,</w:t>
      </w:r>
    </w:p>
    <w:p w:rsidR="001F0688" w:rsidRPr="001F0688" w:rsidRDefault="001F0688" w:rsidP="001F0688">
      <w:pPr>
        <w:pStyle w:val="NoSpacing"/>
        <w:numPr>
          <w:ilvl w:val="0"/>
          <w:numId w:val="2"/>
        </w:numPr>
      </w:pPr>
      <w:r w:rsidRPr="001F0688">
        <w:t xml:space="preserve">communication modes, </w:t>
      </w:r>
    </w:p>
    <w:p w:rsidR="001F0688" w:rsidRPr="001F0688" w:rsidRDefault="001F0688" w:rsidP="001F0688">
      <w:pPr>
        <w:pStyle w:val="NoSpacing"/>
        <w:numPr>
          <w:ilvl w:val="0"/>
          <w:numId w:val="2"/>
        </w:numPr>
      </w:pPr>
      <w:r w:rsidRPr="001F0688">
        <w:t xml:space="preserve">speaking and listening skills, </w:t>
      </w:r>
    </w:p>
    <w:p w:rsidR="001F0688" w:rsidRPr="001F0688" w:rsidRDefault="001F0688" w:rsidP="001F0688">
      <w:pPr>
        <w:pStyle w:val="NoSpacing"/>
        <w:numPr>
          <w:ilvl w:val="0"/>
          <w:numId w:val="2"/>
        </w:numPr>
      </w:pPr>
      <w:r w:rsidRPr="001F0688">
        <w:t xml:space="preserve">concept development, and </w:t>
      </w:r>
    </w:p>
    <w:p w:rsidR="001F0688" w:rsidRDefault="001F0688" w:rsidP="001F0688">
      <w:pPr>
        <w:pStyle w:val="NoSpacing"/>
        <w:numPr>
          <w:ilvl w:val="0"/>
          <w:numId w:val="2"/>
        </w:numPr>
      </w:pPr>
      <w:r w:rsidRPr="001F0688">
        <w:t>adaptations necessary for accessing all areas of the standards-based curriculum</w:t>
      </w:r>
    </w:p>
    <w:p w:rsidR="001F0688" w:rsidRPr="001F0688" w:rsidRDefault="001F0688" w:rsidP="001F0688">
      <w:pPr>
        <w:pStyle w:val="NoSpacing"/>
        <w:ind w:left="720"/>
      </w:pPr>
    </w:p>
    <w:p w:rsidR="001F0688" w:rsidRPr="001F0688" w:rsidRDefault="001F0688" w:rsidP="001F0688">
      <w:pPr>
        <w:pStyle w:val="Heading1"/>
      </w:pPr>
      <w:r w:rsidRPr="001F0688">
        <w:rPr>
          <w:rFonts w:eastAsiaTheme="majorEastAsia"/>
        </w:rPr>
        <w:t>Access can be addressed by VI p</w:t>
      </w:r>
      <w:r>
        <w:rPr>
          <w:rFonts w:eastAsiaTheme="majorEastAsia"/>
        </w:rPr>
        <w:t>rofessionals in 3 distinct ways</w:t>
      </w:r>
    </w:p>
    <w:p w:rsidR="00440F37" w:rsidRPr="001F0688" w:rsidRDefault="00AF2D96" w:rsidP="001F0688">
      <w:pPr>
        <w:pStyle w:val="NoSpacing"/>
        <w:numPr>
          <w:ilvl w:val="0"/>
          <w:numId w:val="3"/>
        </w:numPr>
      </w:pPr>
      <w:r w:rsidRPr="001F0688">
        <w:t xml:space="preserve">Making the learning </w:t>
      </w:r>
      <w:r w:rsidRPr="001F0688">
        <w:rPr>
          <w:b/>
          <w:bCs/>
          <w:i/>
          <w:iCs/>
        </w:rPr>
        <w:t>environment(s)</w:t>
      </w:r>
      <w:r w:rsidRPr="001F0688">
        <w:t xml:space="preserve"> accessible</w:t>
      </w:r>
    </w:p>
    <w:p w:rsidR="00440F37" w:rsidRPr="001F0688" w:rsidRDefault="00AF2D96" w:rsidP="001F0688">
      <w:pPr>
        <w:pStyle w:val="NoSpacing"/>
        <w:numPr>
          <w:ilvl w:val="0"/>
          <w:numId w:val="3"/>
        </w:numPr>
      </w:pPr>
      <w:r w:rsidRPr="001F0688">
        <w:t xml:space="preserve">Providing accessible learning </w:t>
      </w:r>
      <w:r w:rsidRPr="001F0688">
        <w:rPr>
          <w:b/>
          <w:bCs/>
          <w:i/>
          <w:iCs/>
        </w:rPr>
        <w:t>materials</w:t>
      </w:r>
    </w:p>
    <w:p w:rsidR="00440F37" w:rsidRDefault="00AF2D96" w:rsidP="001F0688">
      <w:pPr>
        <w:pStyle w:val="NoSpacing"/>
        <w:numPr>
          <w:ilvl w:val="0"/>
          <w:numId w:val="3"/>
        </w:numPr>
      </w:pPr>
      <w:r w:rsidRPr="001F0688">
        <w:t xml:space="preserve">Teaching access </w:t>
      </w:r>
      <w:r w:rsidRPr="001F0688">
        <w:rPr>
          <w:b/>
          <w:bCs/>
          <w:i/>
          <w:iCs/>
        </w:rPr>
        <w:t>skills</w:t>
      </w:r>
      <w:r w:rsidRPr="001F0688">
        <w:t xml:space="preserve"> to the student</w:t>
      </w:r>
    </w:p>
    <w:p w:rsidR="001F0688" w:rsidRPr="001F0688" w:rsidRDefault="001F0688" w:rsidP="001F0688">
      <w:pPr>
        <w:pStyle w:val="NoSpacing"/>
        <w:ind w:left="720"/>
      </w:pPr>
    </w:p>
    <w:p w:rsidR="001F0688" w:rsidRPr="001F0688" w:rsidRDefault="001F0688" w:rsidP="001F0688">
      <w:pPr>
        <w:pStyle w:val="Heading1"/>
      </w:pPr>
      <w:r w:rsidRPr="001F0688">
        <w:rPr>
          <w:rFonts w:eastAsiaTheme="majorEastAsia"/>
        </w:rPr>
        <w:t>I. Making learning environments accessible</w:t>
      </w:r>
    </w:p>
    <w:p w:rsidR="001F0688" w:rsidRPr="001F0688" w:rsidRDefault="001F0688" w:rsidP="001F0688">
      <w:pPr>
        <w:pStyle w:val="Heading2"/>
      </w:pPr>
      <w:r w:rsidRPr="001F0688">
        <w:t>Picture the layout of the school settings you work in:</w:t>
      </w:r>
    </w:p>
    <w:p w:rsidR="001F0688" w:rsidRPr="001F0688" w:rsidRDefault="001F0688" w:rsidP="001F0688">
      <w:pPr>
        <w:pStyle w:val="NoSpacing"/>
        <w:numPr>
          <w:ilvl w:val="0"/>
          <w:numId w:val="4"/>
        </w:numPr>
      </w:pPr>
      <w:r w:rsidRPr="001F0688">
        <w:t xml:space="preserve">Kindergarten class </w:t>
      </w:r>
    </w:p>
    <w:p w:rsidR="001F0688" w:rsidRPr="001F0688" w:rsidRDefault="001F0688" w:rsidP="001F0688">
      <w:pPr>
        <w:pStyle w:val="NoSpacing"/>
        <w:numPr>
          <w:ilvl w:val="0"/>
          <w:numId w:val="4"/>
        </w:numPr>
      </w:pPr>
      <w:r w:rsidRPr="001F0688">
        <w:t>1</w:t>
      </w:r>
      <w:r w:rsidRPr="001F0688">
        <w:rPr>
          <w:vertAlign w:val="superscript"/>
        </w:rPr>
        <w:t>st</w:t>
      </w:r>
      <w:r w:rsidRPr="001F0688">
        <w:t xml:space="preserve"> or 2</w:t>
      </w:r>
      <w:r w:rsidRPr="001F0688">
        <w:rPr>
          <w:vertAlign w:val="superscript"/>
        </w:rPr>
        <w:t>nd</w:t>
      </w:r>
      <w:r w:rsidRPr="001F0688">
        <w:t xml:space="preserve"> grade classroom</w:t>
      </w:r>
    </w:p>
    <w:p w:rsidR="001F0688" w:rsidRPr="001F0688" w:rsidRDefault="001F0688" w:rsidP="001F0688">
      <w:pPr>
        <w:pStyle w:val="NoSpacing"/>
        <w:numPr>
          <w:ilvl w:val="0"/>
          <w:numId w:val="4"/>
        </w:numPr>
      </w:pPr>
      <w:r w:rsidRPr="001F0688">
        <w:t>8</w:t>
      </w:r>
      <w:r w:rsidRPr="001F0688">
        <w:rPr>
          <w:vertAlign w:val="superscript"/>
        </w:rPr>
        <w:t>th</w:t>
      </w:r>
      <w:r w:rsidRPr="001F0688">
        <w:t xml:space="preserve"> grade science lab or history class</w:t>
      </w:r>
    </w:p>
    <w:p w:rsidR="001F0688" w:rsidRPr="001F0688" w:rsidRDefault="001F0688" w:rsidP="001F0688">
      <w:pPr>
        <w:pStyle w:val="NoSpacing"/>
        <w:numPr>
          <w:ilvl w:val="0"/>
          <w:numId w:val="4"/>
        </w:numPr>
      </w:pPr>
      <w:r w:rsidRPr="001F0688">
        <w:t>High school learning media center</w:t>
      </w:r>
    </w:p>
    <w:p w:rsidR="001F0688" w:rsidRPr="001F0688" w:rsidRDefault="001F0688" w:rsidP="001F0688">
      <w:pPr>
        <w:pStyle w:val="NoSpacing"/>
        <w:numPr>
          <w:ilvl w:val="0"/>
          <w:numId w:val="4"/>
        </w:numPr>
      </w:pPr>
      <w:r w:rsidRPr="001F0688">
        <w:t>Cafeteria</w:t>
      </w:r>
    </w:p>
    <w:p w:rsidR="001F0688" w:rsidRDefault="001F0688" w:rsidP="001F0688">
      <w:pPr>
        <w:pStyle w:val="NoSpacing"/>
        <w:numPr>
          <w:ilvl w:val="0"/>
          <w:numId w:val="4"/>
        </w:numPr>
      </w:pPr>
      <w:r w:rsidRPr="001F0688">
        <w:t>Gym/playground</w:t>
      </w:r>
    </w:p>
    <w:p w:rsidR="001F0688" w:rsidRPr="001F0688" w:rsidRDefault="001F0688" w:rsidP="001F0688">
      <w:pPr>
        <w:pStyle w:val="NoSpacing"/>
        <w:ind w:left="720"/>
      </w:pPr>
    </w:p>
    <w:p w:rsidR="001F0688" w:rsidRPr="001F0688" w:rsidRDefault="001F0688" w:rsidP="001F0688">
      <w:pPr>
        <w:pStyle w:val="Heading2"/>
      </w:pPr>
      <w:r w:rsidRPr="001F0688">
        <w:t>Write in the chat</w:t>
      </w:r>
    </w:p>
    <w:p w:rsidR="001F0688" w:rsidRPr="001F0688" w:rsidRDefault="001F0688" w:rsidP="001F0688">
      <w:r w:rsidRPr="001F0688">
        <w:t>What is an example of an adaptation you have made to a learning environment for one of your students with low vision?</w:t>
      </w:r>
    </w:p>
    <w:p w:rsidR="001F0688" w:rsidRPr="001F0688" w:rsidRDefault="001F0688" w:rsidP="001F0688">
      <w:pPr>
        <w:pStyle w:val="Heading2"/>
      </w:pPr>
      <w:r w:rsidRPr="001F0688">
        <w:t xml:space="preserve">What you can do to address access to </w:t>
      </w:r>
      <w:r w:rsidRPr="001F0688">
        <w:rPr>
          <w:i/>
          <w:iCs/>
        </w:rPr>
        <w:t xml:space="preserve">learning environments </w:t>
      </w:r>
    </w:p>
    <w:p w:rsidR="001F0688" w:rsidRPr="001F0688" w:rsidRDefault="001F0688" w:rsidP="001F0688">
      <w:pPr>
        <w:pStyle w:val="NoSpacing"/>
        <w:numPr>
          <w:ilvl w:val="0"/>
          <w:numId w:val="5"/>
        </w:numPr>
      </w:pPr>
      <w:r w:rsidRPr="001F0688">
        <w:t xml:space="preserve">Go into each environment to see the room set up, where information is posted, where student is seated, lighting, how the class “flows” </w:t>
      </w:r>
    </w:p>
    <w:p w:rsidR="001F0688" w:rsidRDefault="001F0688" w:rsidP="001F0688">
      <w:pPr>
        <w:pStyle w:val="NoSpacing"/>
        <w:numPr>
          <w:ilvl w:val="0"/>
          <w:numId w:val="5"/>
        </w:numPr>
      </w:pPr>
      <w:r w:rsidRPr="001F0688">
        <w:t xml:space="preserve">Make sure rooms are navigable, and student knows where things are located </w:t>
      </w:r>
    </w:p>
    <w:p w:rsidR="001F0688" w:rsidRPr="001F0688" w:rsidRDefault="001F0688" w:rsidP="001F0688">
      <w:pPr>
        <w:pStyle w:val="NoSpacing"/>
        <w:ind w:left="720"/>
      </w:pPr>
    </w:p>
    <w:p w:rsidR="001F0688" w:rsidRDefault="001F0688" w:rsidP="001F0688">
      <w:pPr>
        <w:pStyle w:val="Heading2"/>
        <w:rPr>
          <w:i/>
          <w:iCs/>
        </w:rPr>
      </w:pPr>
      <w:r w:rsidRPr="001F0688">
        <w:t xml:space="preserve">Resources for Adapting </w:t>
      </w:r>
      <w:r w:rsidRPr="001F0688">
        <w:rPr>
          <w:i/>
          <w:iCs/>
        </w:rPr>
        <w:t xml:space="preserve">Learning Environments </w:t>
      </w:r>
    </w:p>
    <w:p w:rsidR="00CD3393" w:rsidRPr="00CD3393" w:rsidRDefault="00CD3393" w:rsidP="00CD3393">
      <w:pPr>
        <w:pStyle w:val="NoSpacing"/>
        <w:numPr>
          <w:ilvl w:val="0"/>
          <w:numId w:val="6"/>
        </w:numPr>
      </w:pPr>
      <w:r>
        <w:t xml:space="preserve">Teaching Visually Impaired website </w:t>
      </w:r>
      <w:hyperlink r:id="rId7" w:history="1">
        <w:r w:rsidRPr="003756A9">
          <w:rPr>
            <w:rStyle w:val="Hyperlink"/>
          </w:rPr>
          <w:t>Environmental Adaptations</w:t>
        </w:r>
      </w:hyperlink>
    </w:p>
    <w:p w:rsidR="001F0688" w:rsidRPr="001F0688" w:rsidRDefault="00CB18AC" w:rsidP="001F0688">
      <w:pPr>
        <w:pStyle w:val="NoSpacing"/>
        <w:numPr>
          <w:ilvl w:val="0"/>
          <w:numId w:val="6"/>
        </w:numPr>
      </w:pPr>
      <w:r>
        <w:t>Perkins</w:t>
      </w:r>
      <w:r w:rsidR="001F0688" w:rsidRPr="001F0688">
        <w:t xml:space="preserve"> </w:t>
      </w:r>
      <w:hyperlink r:id="rId8" w:history="1">
        <w:r w:rsidR="001F0688" w:rsidRPr="001F0688">
          <w:rPr>
            <w:rStyle w:val="Hyperlink"/>
          </w:rPr>
          <w:t xml:space="preserve">Tips for Modifying the Learning </w:t>
        </w:r>
      </w:hyperlink>
      <w:hyperlink r:id="rId9" w:history="1">
        <w:r w:rsidR="001F0688" w:rsidRPr="001F0688">
          <w:rPr>
            <w:rStyle w:val="Hyperlink"/>
          </w:rPr>
          <w:t>Environment</w:t>
        </w:r>
      </w:hyperlink>
    </w:p>
    <w:p w:rsidR="001F0688" w:rsidRPr="003756A9" w:rsidRDefault="001F0688" w:rsidP="001F0688">
      <w:pPr>
        <w:pStyle w:val="NoSpacing"/>
        <w:numPr>
          <w:ilvl w:val="0"/>
          <w:numId w:val="6"/>
        </w:numPr>
        <w:rPr>
          <w:rStyle w:val="Hyperlink"/>
          <w:color w:val="auto"/>
          <w:u w:val="none"/>
        </w:rPr>
      </w:pPr>
      <w:r w:rsidRPr="001F0688">
        <w:t xml:space="preserve">Paths to Literacy </w:t>
      </w:r>
      <w:hyperlink r:id="rId10" w:history="1">
        <w:r w:rsidRPr="001F0688">
          <w:rPr>
            <w:rStyle w:val="Hyperlink"/>
          </w:rPr>
          <w:t>Classroom Adaptations for Students with Low Vision</w:t>
        </w:r>
      </w:hyperlink>
    </w:p>
    <w:p w:rsidR="001F0688" w:rsidRPr="001F0688" w:rsidRDefault="001F0688" w:rsidP="001F0688">
      <w:pPr>
        <w:pStyle w:val="NoSpacing"/>
        <w:ind w:left="720"/>
      </w:pPr>
    </w:p>
    <w:p w:rsidR="001F0688" w:rsidRPr="001F0688" w:rsidRDefault="001F0688" w:rsidP="001F0688">
      <w:pPr>
        <w:pStyle w:val="Heading1"/>
      </w:pPr>
      <w:r w:rsidRPr="001F0688">
        <w:rPr>
          <w:rFonts w:eastAsiaTheme="majorEastAsia"/>
        </w:rPr>
        <w:t>II.  Providing accessible learning materials</w:t>
      </w:r>
    </w:p>
    <w:p w:rsidR="001F0688" w:rsidRPr="001F0688" w:rsidRDefault="001F0688" w:rsidP="001F0688">
      <w:pPr>
        <w:pStyle w:val="Heading2"/>
      </w:pPr>
      <w:r w:rsidRPr="001F0688">
        <w:t>Examples of accessible materials</w:t>
      </w:r>
      <w:r w:rsidRPr="001F0688">
        <w:tab/>
      </w:r>
    </w:p>
    <w:p w:rsidR="001F0688" w:rsidRPr="001F0688" w:rsidRDefault="001F0688" w:rsidP="001F0688">
      <w:pPr>
        <w:pStyle w:val="NoSpacing"/>
        <w:numPr>
          <w:ilvl w:val="0"/>
          <w:numId w:val="7"/>
        </w:numPr>
      </w:pPr>
      <w:r w:rsidRPr="001F0688">
        <w:t>Adapted measuring devices, clock, number line, graph paper, games, alphabet strip, calendar, periodic table of elements, etc.</w:t>
      </w:r>
    </w:p>
    <w:p w:rsidR="001F0688" w:rsidRPr="001F0688" w:rsidRDefault="001F0688" w:rsidP="001F0688">
      <w:pPr>
        <w:pStyle w:val="NoSpacing"/>
        <w:numPr>
          <w:ilvl w:val="0"/>
          <w:numId w:val="7"/>
        </w:numPr>
      </w:pPr>
      <w:r w:rsidRPr="001F0688">
        <w:t>High quality print handouts, maps, charts, graphs</w:t>
      </w:r>
    </w:p>
    <w:p w:rsidR="001F0688" w:rsidRPr="001F0688" w:rsidRDefault="001F0688" w:rsidP="001F0688">
      <w:pPr>
        <w:pStyle w:val="NoSpacing"/>
        <w:numPr>
          <w:ilvl w:val="0"/>
          <w:numId w:val="7"/>
        </w:numPr>
      </w:pPr>
      <w:r w:rsidRPr="001F0688">
        <w:t>Math concept manipulatives (for place value, numeration)</w:t>
      </w:r>
    </w:p>
    <w:p w:rsidR="001F0688" w:rsidRPr="001F0688" w:rsidRDefault="001F0688" w:rsidP="001F0688">
      <w:pPr>
        <w:pStyle w:val="NoSpacing"/>
        <w:numPr>
          <w:ilvl w:val="0"/>
          <w:numId w:val="7"/>
        </w:numPr>
      </w:pPr>
      <w:r w:rsidRPr="001F0688">
        <w:t xml:space="preserve">Real items vs. plastic representations </w:t>
      </w:r>
    </w:p>
    <w:p w:rsidR="001F0688" w:rsidRDefault="001F0688" w:rsidP="001F0688">
      <w:pPr>
        <w:pStyle w:val="NoSpacing"/>
        <w:numPr>
          <w:ilvl w:val="0"/>
          <w:numId w:val="7"/>
        </w:numPr>
      </w:pPr>
      <w:r w:rsidRPr="001F0688">
        <w:t>Models of abstract concepts (solar system, electric current, 3-D shapes, geo board, etc.)</w:t>
      </w:r>
    </w:p>
    <w:p w:rsidR="001F0688" w:rsidRDefault="001F0688" w:rsidP="001F0688">
      <w:pPr>
        <w:pStyle w:val="NoSpacing"/>
        <w:ind w:left="720"/>
      </w:pPr>
    </w:p>
    <w:p w:rsidR="001F0688" w:rsidRDefault="001F0688" w:rsidP="001F0688">
      <w:pPr>
        <w:pStyle w:val="Heading2"/>
      </w:pPr>
      <w:r>
        <w:t>Photo examples of accessible materials:</w:t>
      </w:r>
    </w:p>
    <w:p w:rsidR="001F0688" w:rsidRPr="001F0688" w:rsidRDefault="001F0688" w:rsidP="001F0688">
      <w:pPr>
        <w:pStyle w:val="ListParagraph"/>
        <w:numPr>
          <w:ilvl w:val="0"/>
          <w:numId w:val="8"/>
        </w:numPr>
      </w:pPr>
      <w:r w:rsidRPr="001F0688">
        <w:t>Map for travel trip, with both tactile and visual access</w:t>
      </w:r>
    </w:p>
    <w:p w:rsidR="001F0688" w:rsidRPr="001F0688" w:rsidRDefault="001F0688" w:rsidP="001F0688">
      <w:pPr>
        <w:pStyle w:val="ListParagraph"/>
        <w:numPr>
          <w:ilvl w:val="0"/>
          <w:numId w:val="8"/>
        </w:numPr>
      </w:pPr>
      <w:r w:rsidRPr="001F0688">
        <w:t>Counting money with adapted materials and real coins</w:t>
      </w:r>
    </w:p>
    <w:p w:rsidR="001F0688" w:rsidRPr="001F0688" w:rsidRDefault="001F0688" w:rsidP="001F0688">
      <w:pPr>
        <w:pStyle w:val="ListParagraph"/>
        <w:numPr>
          <w:ilvl w:val="0"/>
          <w:numId w:val="8"/>
        </w:numPr>
      </w:pPr>
      <w:r w:rsidRPr="001F0688">
        <w:t>Adapted science materials - APH</w:t>
      </w:r>
    </w:p>
    <w:p w:rsidR="001F0688" w:rsidRPr="001F0688" w:rsidRDefault="001F0688" w:rsidP="001F0688">
      <w:pPr>
        <w:pStyle w:val="Heading2"/>
      </w:pPr>
      <w:r w:rsidRPr="001F0688">
        <w:t xml:space="preserve">What you can do to address </w:t>
      </w:r>
      <w:r w:rsidRPr="001F0688">
        <w:rPr>
          <w:i/>
          <w:iCs/>
        </w:rPr>
        <w:t>accessible materials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Talk with teachers to find out content being covered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 xml:space="preserve">Issue adapted materials to the teacher  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Observe the setting to see which materials are routinely used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Add adaptations to materials (e.g., bolder lines on measuring devices)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Give student tabbed binder with desk copies of learning materials posted on the walls (e.g., calendar, parts of speech, periodic table of elements)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Stick a number line and alphabet onto student’s desk</w:t>
      </w:r>
    </w:p>
    <w:p w:rsidR="001F0688" w:rsidRPr="001F0688" w:rsidRDefault="001F0688" w:rsidP="001F0688">
      <w:pPr>
        <w:pStyle w:val="NoSpacing"/>
        <w:numPr>
          <w:ilvl w:val="0"/>
          <w:numId w:val="9"/>
        </w:numPr>
      </w:pPr>
      <w:r w:rsidRPr="001F0688">
        <w:t>Provide bold-line pens, paper, soft-lead pencils, bold-line graph paper, etc. if needed</w:t>
      </w:r>
    </w:p>
    <w:p w:rsidR="001F0688" w:rsidRDefault="001F0688" w:rsidP="001F0688">
      <w:pPr>
        <w:pStyle w:val="NoSpacing"/>
        <w:numPr>
          <w:ilvl w:val="0"/>
          <w:numId w:val="9"/>
        </w:numPr>
      </w:pPr>
      <w:r w:rsidRPr="001F0688">
        <w:t>Teach accessibility features of electronic devices</w:t>
      </w:r>
    </w:p>
    <w:p w:rsidR="001F0688" w:rsidRPr="001F0688" w:rsidRDefault="001F0688" w:rsidP="001F0688">
      <w:pPr>
        <w:pStyle w:val="NoSpacing"/>
        <w:ind w:left="720"/>
      </w:pPr>
    </w:p>
    <w:p w:rsidR="001F0688" w:rsidRPr="001F0688" w:rsidRDefault="001F0688" w:rsidP="001F0688">
      <w:pPr>
        <w:pStyle w:val="Heading2"/>
      </w:pPr>
      <w:r w:rsidRPr="001F0688">
        <w:t xml:space="preserve">Add </w:t>
      </w:r>
      <w:r>
        <w:t>your ideas to the chat box</w:t>
      </w:r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Do you have an example of a learning material you adapted?  </w:t>
      </w:r>
    </w:p>
    <w:p w:rsidR="001F0688" w:rsidRPr="001F0688" w:rsidRDefault="001F0688" w:rsidP="001F0688">
      <w:pPr>
        <w:pStyle w:val="ListParagraph"/>
      </w:pPr>
      <w:r w:rsidRPr="001F0688">
        <w:t>AND/OR</w:t>
      </w:r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What is one of your favorite resources for helping you adapt materials? </w:t>
      </w:r>
    </w:p>
    <w:p w:rsidR="001F0688" w:rsidRPr="001F0688" w:rsidRDefault="001F0688" w:rsidP="001F0688">
      <w:pPr>
        <w:pStyle w:val="Heading2"/>
      </w:pPr>
      <w:r w:rsidRPr="001F0688">
        <w:t>Great places to find ideas for adapted materials</w:t>
      </w:r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APH – </w:t>
      </w:r>
      <w:hyperlink r:id="rId11" w:history="1">
        <w:r w:rsidRPr="001F0688">
          <w:rPr>
            <w:rStyle w:val="Hyperlink"/>
          </w:rPr>
          <w:t>Educational Resources/Core Curriculum</w:t>
        </w:r>
      </w:hyperlink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Paths to Literacy – </w:t>
      </w:r>
      <w:hyperlink r:id="rId12" w:history="1">
        <w:r w:rsidRPr="001F0688">
          <w:rPr>
            <w:rStyle w:val="Hyperlink"/>
          </w:rPr>
          <w:t>Adapting Materials</w:t>
        </w:r>
      </w:hyperlink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Perkins Learning – </w:t>
      </w:r>
      <w:hyperlink r:id="rId13" w:history="1">
        <w:r w:rsidRPr="001F0688">
          <w:rPr>
            <w:rStyle w:val="Hyperlink"/>
          </w:rPr>
          <w:t>Accessible Science</w:t>
        </w:r>
      </w:hyperlink>
    </w:p>
    <w:p w:rsidR="001F0688" w:rsidRPr="001F0688" w:rsidRDefault="001F0688" w:rsidP="001F0688">
      <w:pPr>
        <w:pStyle w:val="ListParagraph"/>
        <w:numPr>
          <w:ilvl w:val="0"/>
          <w:numId w:val="10"/>
        </w:numPr>
      </w:pPr>
      <w:r w:rsidRPr="001F0688">
        <w:t xml:space="preserve">Teaching Students with Visual Impairments – </w:t>
      </w:r>
      <w:hyperlink r:id="rId14" w:history="1">
        <w:r w:rsidRPr="001F0688">
          <w:rPr>
            <w:rStyle w:val="Hyperlink"/>
          </w:rPr>
          <w:t>Social Studies Adaptations</w:t>
        </w:r>
      </w:hyperlink>
    </w:p>
    <w:p w:rsidR="001F0688" w:rsidRPr="001F0688" w:rsidRDefault="001F0688" w:rsidP="001F0688">
      <w:pPr>
        <w:pStyle w:val="Heading1"/>
      </w:pPr>
      <w:r w:rsidRPr="001F0688">
        <w:rPr>
          <w:rFonts w:eastAsiaTheme="majorEastAsia"/>
        </w:rPr>
        <w:t xml:space="preserve">III. Teaching </w:t>
      </w:r>
      <w:r w:rsidRPr="001F0688">
        <w:rPr>
          <w:rFonts w:eastAsiaTheme="majorEastAsia"/>
          <w:i/>
          <w:iCs/>
        </w:rPr>
        <w:t xml:space="preserve">Access Skills </w:t>
      </w:r>
    </w:p>
    <w:p w:rsidR="001F0688" w:rsidRPr="001F0688" w:rsidRDefault="001F0688" w:rsidP="001F0688">
      <w:pPr>
        <w:pStyle w:val="Heading2"/>
      </w:pPr>
      <w:r w:rsidRPr="001F0688">
        <w:t xml:space="preserve">Examples of </w:t>
      </w:r>
      <w:r w:rsidRPr="001F0688">
        <w:rPr>
          <w:i/>
          <w:iCs/>
        </w:rPr>
        <w:t xml:space="preserve">access skills </w:t>
      </w:r>
      <w:r w:rsidRPr="001F0688">
        <w:t>which may require direct instruction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Organization of “stuff”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Study skills (note taking techniques, research, studying for tests, organizing information)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lastRenderedPageBreak/>
        <w:t>Screen readers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Optical devices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Computer settings/short cuts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Accessibility options for tablets/computers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Scientific calculators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>Auditory skills/equipment</w:t>
      </w:r>
    </w:p>
    <w:p w:rsidR="001F0688" w:rsidRPr="001F0688" w:rsidRDefault="001F0688" w:rsidP="001F0688">
      <w:pPr>
        <w:pStyle w:val="ListParagraph"/>
        <w:numPr>
          <w:ilvl w:val="0"/>
          <w:numId w:val="11"/>
        </w:numPr>
      </w:pPr>
      <w:r w:rsidRPr="001F0688">
        <w:t xml:space="preserve">Self-determination skills – being able to tell people the adaptations needed </w:t>
      </w:r>
    </w:p>
    <w:p w:rsidR="001F0688" w:rsidRPr="001F0688" w:rsidRDefault="001F0688" w:rsidP="001F0688">
      <w:r w:rsidRPr="001F0688">
        <w:t xml:space="preserve"> </w:t>
      </w:r>
    </w:p>
    <w:p w:rsidR="001F0688" w:rsidRPr="001F0688" w:rsidRDefault="001F0688" w:rsidP="001F0688">
      <w:pPr>
        <w:pStyle w:val="Heading2"/>
      </w:pPr>
      <w:r w:rsidRPr="001F0688">
        <w:t xml:space="preserve">What you can do to address </w:t>
      </w:r>
      <w:r w:rsidRPr="001F0688">
        <w:rPr>
          <w:i/>
          <w:iCs/>
        </w:rPr>
        <w:t>teaching access skills</w:t>
      </w:r>
      <w:r w:rsidRPr="001F0688">
        <w:rPr>
          <w:i/>
          <w:iCs/>
        </w:rPr>
        <w:tab/>
      </w:r>
    </w:p>
    <w:p w:rsidR="001F0688" w:rsidRPr="001F0688" w:rsidRDefault="001F0688" w:rsidP="001F0688">
      <w:pPr>
        <w:pStyle w:val="ListParagraph"/>
        <w:numPr>
          <w:ilvl w:val="0"/>
          <w:numId w:val="12"/>
        </w:numPr>
      </w:pPr>
      <w:r w:rsidRPr="001F0688">
        <w:t>Familiarize yourself with sources for teaching access skills (see handout for this session)</w:t>
      </w:r>
    </w:p>
    <w:p w:rsidR="001F0688" w:rsidRPr="001F0688" w:rsidRDefault="001F0688" w:rsidP="001F0688">
      <w:pPr>
        <w:pStyle w:val="ListParagraph"/>
        <w:numPr>
          <w:ilvl w:val="0"/>
          <w:numId w:val="12"/>
        </w:numPr>
      </w:pPr>
      <w:r w:rsidRPr="001F0688">
        <w:t>Assess your students in the areas mentioned and design lessons to address the gaps</w:t>
      </w:r>
    </w:p>
    <w:p w:rsidR="001F0688" w:rsidRPr="001F0688" w:rsidRDefault="001F0688" w:rsidP="001F0688">
      <w:pPr>
        <w:pStyle w:val="ListParagraph"/>
        <w:numPr>
          <w:ilvl w:val="0"/>
          <w:numId w:val="12"/>
        </w:numPr>
      </w:pPr>
      <w:r w:rsidRPr="001F0688">
        <w:t>Observe!</w:t>
      </w:r>
    </w:p>
    <w:p w:rsidR="001F0688" w:rsidRPr="001F0688" w:rsidRDefault="001F0688" w:rsidP="001F0688">
      <w:pPr>
        <w:pStyle w:val="Heading2"/>
      </w:pPr>
      <w:r w:rsidRPr="001F0688">
        <w:t>Resources for direct instruction of access skills</w:t>
      </w:r>
    </w:p>
    <w:p w:rsidR="001F0688" w:rsidRPr="001F0688" w:rsidRDefault="001F0688" w:rsidP="001F0688">
      <w:pPr>
        <w:pStyle w:val="ListParagraph"/>
        <w:numPr>
          <w:ilvl w:val="0"/>
          <w:numId w:val="13"/>
        </w:numPr>
      </w:pPr>
      <w:r w:rsidRPr="001F0688">
        <w:t xml:space="preserve">APH – </w:t>
      </w:r>
      <w:hyperlink r:id="rId15" w:history="1">
        <w:r w:rsidRPr="001F0688">
          <w:rPr>
            <w:rStyle w:val="Hyperlink"/>
          </w:rPr>
          <w:t>Learning to Listen/Listening to Learn</w:t>
        </w:r>
      </w:hyperlink>
    </w:p>
    <w:p w:rsidR="001F0688" w:rsidRPr="001F0688" w:rsidRDefault="001F0688" w:rsidP="004F77F7">
      <w:pPr>
        <w:pStyle w:val="ListParagraph"/>
        <w:numPr>
          <w:ilvl w:val="0"/>
          <w:numId w:val="13"/>
        </w:numPr>
      </w:pPr>
      <w:r w:rsidRPr="001F0688">
        <w:t xml:space="preserve">APH - </w:t>
      </w:r>
      <w:hyperlink r:id="rId16" w:history="1">
        <w:r w:rsidRPr="001F0688">
          <w:rPr>
            <w:rStyle w:val="Hyperlink"/>
          </w:rPr>
          <w:t xml:space="preserve">Looking to Learn </w:t>
        </w:r>
      </w:hyperlink>
    </w:p>
    <w:p w:rsidR="001F0688" w:rsidRPr="001F0688" w:rsidRDefault="001F0688" w:rsidP="001F0688">
      <w:pPr>
        <w:pStyle w:val="ListParagraph"/>
        <w:numPr>
          <w:ilvl w:val="0"/>
          <w:numId w:val="13"/>
        </w:numPr>
      </w:pPr>
      <w:r w:rsidRPr="001F0688">
        <w:t xml:space="preserve">APH – </w:t>
      </w:r>
      <w:hyperlink r:id="rId17" w:history="1">
        <w:r w:rsidRPr="001F0688">
          <w:rPr>
            <w:rStyle w:val="Hyperlink"/>
          </w:rPr>
          <w:t xml:space="preserve">ECC Essentials </w:t>
        </w:r>
      </w:hyperlink>
      <w:r w:rsidRPr="001F0688">
        <w:t>book</w:t>
      </w:r>
    </w:p>
    <w:p w:rsidR="001F0688" w:rsidRPr="001F0688" w:rsidRDefault="001F0688" w:rsidP="001F0688">
      <w:pPr>
        <w:pStyle w:val="ListParagraph"/>
        <w:numPr>
          <w:ilvl w:val="0"/>
          <w:numId w:val="13"/>
        </w:numPr>
      </w:pPr>
      <w:r w:rsidRPr="001F0688">
        <w:t xml:space="preserve">TSBVI – </w:t>
      </w:r>
      <w:hyperlink r:id="rId18" w:history="1">
        <w:r w:rsidRPr="001F0688">
          <w:rPr>
            <w:rStyle w:val="Hyperlink"/>
          </w:rPr>
          <w:t>RECC</w:t>
        </w:r>
      </w:hyperlink>
    </w:p>
    <w:p w:rsidR="001F0688" w:rsidRPr="001F0688" w:rsidRDefault="001F0688" w:rsidP="001F0688">
      <w:pPr>
        <w:pStyle w:val="ListParagraph"/>
        <w:numPr>
          <w:ilvl w:val="0"/>
          <w:numId w:val="13"/>
        </w:numPr>
      </w:pPr>
      <w:r w:rsidRPr="001F0688">
        <w:t xml:space="preserve">Teaching Visually Impaired website – </w:t>
      </w:r>
      <w:hyperlink r:id="rId19" w:history="1">
        <w:r w:rsidRPr="001F0688">
          <w:rPr>
            <w:rStyle w:val="Hyperlink"/>
          </w:rPr>
          <w:t>Compensatory Skills</w:t>
        </w:r>
      </w:hyperlink>
    </w:p>
    <w:p w:rsidR="001F0688" w:rsidRDefault="001F0688" w:rsidP="001F0688">
      <w:pPr>
        <w:rPr>
          <w:rStyle w:val="Heading1Char"/>
          <w:rFonts w:eastAsiaTheme="majorEastAsia"/>
        </w:rPr>
      </w:pPr>
      <w:r w:rsidRPr="001F0688">
        <w:rPr>
          <w:rStyle w:val="Heading1Char"/>
          <w:rFonts w:eastAsiaTheme="majorEastAsia"/>
        </w:rPr>
        <w:t>Tell me your success stories</w:t>
      </w:r>
    </w:p>
    <w:p w:rsidR="001F0688" w:rsidRPr="001F0688" w:rsidRDefault="001F0688" w:rsidP="001F0688">
      <w:r>
        <w:t>What</w:t>
      </w:r>
      <w:r w:rsidRPr="001F0688">
        <w:t xml:space="preserve"> compensatory access skills have you worked on with your students with low vision that made them stronger learners?</w:t>
      </w:r>
    </w:p>
    <w:p w:rsidR="001F0688" w:rsidRDefault="001F0688" w:rsidP="001F0688">
      <w:r w:rsidRPr="001F0688">
        <w:t>Thank you for tuning in!</w:t>
      </w:r>
    </w:p>
    <w:p w:rsidR="00F318AC" w:rsidRDefault="00F318AC" w:rsidP="001F0688">
      <w:bookmarkStart w:id="0" w:name="_GoBack"/>
      <w:bookmarkEnd w:id="0"/>
    </w:p>
    <w:p w:rsidR="00F318AC" w:rsidRPr="00E47F4D" w:rsidRDefault="00F318AC" w:rsidP="001F0688">
      <w:pPr>
        <w:rPr>
          <w:b/>
        </w:rPr>
      </w:pPr>
      <w:r w:rsidRPr="00E47F4D">
        <w:rPr>
          <w:b/>
        </w:rPr>
        <w:t>References:</w:t>
      </w:r>
    </w:p>
    <w:p w:rsidR="00E47F4D" w:rsidRDefault="00E47F4D" w:rsidP="001F0688">
      <w:r>
        <w:t xml:space="preserve">Allman, C.B., &amp; Lewis S. (Eds.). (2014). </w:t>
      </w:r>
      <w:r w:rsidRPr="00E47F4D">
        <w:rPr>
          <w:i/>
        </w:rPr>
        <w:t>ECC Essentials:  Teaching the Expanded Core Curriculum to Students with Visual Impairments</w:t>
      </w:r>
      <w:r>
        <w:t>. AFB Press.</w:t>
      </w:r>
    </w:p>
    <w:p w:rsidR="00F318AC" w:rsidRPr="001F0688" w:rsidRDefault="00F318AC" w:rsidP="001F0688">
      <w:r>
        <w:t xml:space="preserve">Gray, </w:t>
      </w:r>
      <w:proofErr w:type="spellStart"/>
      <w:r>
        <w:t>Kitra</w:t>
      </w:r>
      <w:proofErr w:type="spellEnd"/>
      <w:r>
        <w:t xml:space="preserve">. “What is Specially Designed Instruction for Students with Visual Impairments”. </w:t>
      </w:r>
      <w:r w:rsidRPr="00F318AC">
        <w:rPr>
          <w:i/>
        </w:rPr>
        <w:t xml:space="preserve">TX </w:t>
      </w:r>
      <w:proofErr w:type="spellStart"/>
      <w:r w:rsidRPr="00F318AC">
        <w:rPr>
          <w:i/>
        </w:rPr>
        <w:t>SenseAbilities</w:t>
      </w:r>
      <w:proofErr w:type="spellEnd"/>
      <w:r>
        <w:t xml:space="preserve">, Summer 2019 Issue, pp. 35-36. </w:t>
      </w:r>
      <w:hyperlink r:id="rId20" w:history="1">
        <w:r w:rsidRPr="00EA7CE6">
          <w:rPr>
            <w:rStyle w:val="Hyperlink"/>
          </w:rPr>
          <w:t>https://www.tsbvi.edu/tx-senseabilities/issues/summer-2019/what-is-specially-designed-instruction-for-students-with-visual-impairments</w:t>
        </w:r>
      </w:hyperlink>
      <w:r>
        <w:t xml:space="preserve"> </w:t>
      </w:r>
    </w:p>
    <w:p w:rsidR="0033593D" w:rsidRDefault="0033593D"/>
    <w:sectPr w:rsidR="0033593D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07" w:rsidRDefault="00CE6C07" w:rsidP="001E2D92">
      <w:pPr>
        <w:spacing w:after="0" w:line="240" w:lineRule="auto"/>
      </w:pPr>
      <w:r>
        <w:separator/>
      </w:r>
    </w:p>
  </w:endnote>
  <w:endnote w:type="continuationSeparator" w:id="0">
    <w:p w:rsidR="00CE6C07" w:rsidRDefault="00CE6C07" w:rsidP="001E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535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2D92" w:rsidRDefault="001E2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2D92" w:rsidRDefault="001E2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07" w:rsidRDefault="00CE6C07" w:rsidP="001E2D92">
      <w:pPr>
        <w:spacing w:after="0" w:line="240" w:lineRule="auto"/>
      </w:pPr>
      <w:r>
        <w:separator/>
      </w:r>
    </w:p>
  </w:footnote>
  <w:footnote w:type="continuationSeparator" w:id="0">
    <w:p w:rsidR="00CE6C07" w:rsidRDefault="00CE6C07" w:rsidP="001E2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8F2"/>
    <w:multiLevelType w:val="hybridMultilevel"/>
    <w:tmpl w:val="9BE41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974"/>
    <w:multiLevelType w:val="hybridMultilevel"/>
    <w:tmpl w:val="F31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00C7"/>
    <w:multiLevelType w:val="hybridMultilevel"/>
    <w:tmpl w:val="13CE01EC"/>
    <w:lvl w:ilvl="0" w:tplc="F89C3E4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DE2D14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5084EB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1E228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816652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40CAD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F24E4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ADE06E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E984D0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00E86"/>
    <w:multiLevelType w:val="hybridMultilevel"/>
    <w:tmpl w:val="D6F8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30BA"/>
    <w:multiLevelType w:val="hybridMultilevel"/>
    <w:tmpl w:val="1F7AE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EAC"/>
    <w:multiLevelType w:val="hybridMultilevel"/>
    <w:tmpl w:val="FCFA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1555"/>
    <w:multiLevelType w:val="hybridMultilevel"/>
    <w:tmpl w:val="1F50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22AB2"/>
    <w:multiLevelType w:val="hybridMultilevel"/>
    <w:tmpl w:val="71B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683"/>
    <w:multiLevelType w:val="hybridMultilevel"/>
    <w:tmpl w:val="F92A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94D16"/>
    <w:multiLevelType w:val="hybridMultilevel"/>
    <w:tmpl w:val="68CE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E408C"/>
    <w:multiLevelType w:val="hybridMultilevel"/>
    <w:tmpl w:val="0FF8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B3C89"/>
    <w:multiLevelType w:val="hybridMultilevel"/>
    <w:tmpl w:val="385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60593"/>
    <w:multiLevelType w:val="hybridMultilevel"/>
    <w:tmpl w:val="280E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1"/>
    <w:rsid w:val="00093E7F"/>
    <w:rsid w:val="000D6655"/>
    <w:rsid w:val="001E2D92"/>
    <w:rsid w:val="001F0688"/>
    <w:rsid w:val="00223CC7"/>
    <w:rsid w:val="002D0133"/>
    <w:rsid w:val="0033593D"/>
    <w:rsid w:val="003756A9"/>
    <w:rsid w:val="00440F37"/>
    <w:rsid w:val="004F77F7"/>
    <w:rsid w:val="00502341"/>
    <w:rsid w:val="008B01E6"/>
    <w:rsid w:val="008C584E"/>
    <w:rsid w:val="008F6690"/>
    <w:rsid w:val="00983CB5"/>
    <w:rsid w:val="00AD1964"/>
    <w:rsid w:val="00AF2D96"/>
    <w:rsid w:val="00B018A5"/>
    <w:rsid w:val="00CB18AC"/>
    <w:rsid w:val="00CD3393"/>
    <w:rsid w:val="00CE6C07"/>
    <w:rsid w:val="00E47F4D"/>
    <w:rsid w:val="00F269E4"/>
    <w:rsid w:val="00F318AC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91B4"/>
  <w15:chartTrackingRefBased/>
  <w15:docId w15:val="{29D3BD7A-DFCB-4111-8AD6-9EB7BAB0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B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0688"/>
    <w:pPr>
      <w:keepNext/>
      <w:keepLines/>
      <w:spacing w:after="120"/>
      <w:outlineLvl w:val="0"/>
    </w:pPr>
    <w:rPr>
      <w:rFonts w:eastAsia="Times New Roman" w:cs="Arial"/>
      <w:b/>
      <w:color w:val="861714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69E4"/>
    <w:pPr>
      <w:keepNext/>
      <w:keepLines/>
      <w:spacing w:after="0" w:line="240" w:lineRule="auto"/>
      <w:outlineLvl w:val="1"/>
    </w:pPr>
    <w:rPr>
      <w:b/>
      <w:bCs/>
      <w:color w:val="1A386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1E6"/>
    <w:pPr>
      <w:keepNext/>
      <w:spacing w:before="240" w:after="60" w:line="240" w:lineRule="auto"/>
      <w:outlineLvl w:val="2"/>
    </w:pPr>
    <w:rPr>
      <w:rFonts w:eastAsia="Times New Roman"/>
      <w:b/>
      <w:bC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69E4"/>
    <w:rPr>
      <w:rFonts w:ascii="Arial" w:hAnsi="Arial"/>
      <w:b/>
      <w:bCs/>
      <w:color w:val="1A3866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3CB5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CB5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0688"/>
    <w:rPr>
      <w:rFonts w:ascii="Arial" w:eastAsia="Times New Roman" w:hAnsi="Arial" w:cs="Arial"/>
      <w:b/>
      <w:color w:val="861714"/>
      <w:sz w:val="28"/>
      <w:szCs w:val="24"/>
    </w:rPr>
  </w:style>
  <w:style w:type="character" w:customStyle="1" w:styleId="Heading3Char">
    <w:name w:val="Heading 3 Char"/>
    <w:link w:val="Heading3"/>
    <w:uiPriority w:val="9"/>
    <w:rsid w:val="008B01E6"/>
    <w:rPr>
      <w:rFonts w:ascii="Arial" w:eastAsia="Times New Roman" w:hAnsi="Arial"/>
      <w:b/>
      <w:bCs/>
      <w:sz w:val="24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1F06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0688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F0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9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E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92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5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811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317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33">
          <w:marLeft w:val="15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kinselearning.org/activity/tips-modifying-learning-environment-children-visual-impairments-and-additional-disabilities" TargetMode="External"/><Relationship Id="rId13" Type="http://schemas.openxmlformats.org/officeDocument/2006/relationships/hyperlink" Target="https://www.perkinselearning.org/accessible-science" TargetMode="External"/><Relationship Id="rId18" Type="http://schemas.openxmlformats.org/officeDocument/2006/relationships/hyperlink" Target="http://www.tsbvi.edu/recc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teachingvisuallyimpaired.com/adaptations.html" TargetMode="External"/><Relationship Id="rId12" Type="http://schemas.openxmlformats.org/officeDocument/2006/relationships/hyperlink" Target="https://www.pathstoliteracy.org/search/adapting+materials/" TargetMode="External"/><Relationship Id="rId17" Type="http://schemas.openxmlformats.org/officeDocument/2006/relationships/hyperlink" Target="https://www.aph.org/product/ecc-essentials-teaching-the-expanded-core-curriculum-to-students-with-visual-impair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h.org/product/looking-to-learn-promoting-literacy-for-students-with-low-vision/" TargetMode="External"/><Relationship Id="rId20" Type="http://schemas.openxmlformats.org/officeDocument/2006/relationships/hyperlink" Target="https://www.tsbvi.edu/tx-senseabilities/issues/summer-2019/what-is-specially-designed-instruction-for-students-with-visual-impair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ph.org/educational-resources/core-curriculu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ph.org/product/learning-to-list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athstoliteracy.org/classroom-adaptations-students-low-vision/" TargetMode="External"/><Relationship Id="rId19" Type="http://schemas.openxmlformats.org/officeDocument/2006/relationships/hyperlink" Target="https://www.teachingvisuallyimpaired.com/ecc-instru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kinselearning.org/activity/tips-modifying-learning-environment-children-visual-impairments-and-additional-disabilities" TargetMode="External"/><Relationship Id="rId14" Type="http://schemas.openxmlformats.org/officeDocument/2006/relationships/hyperlink" Target="https://www.teachingvisuallyimpaired.com/social-studies-adaptation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Cowan</dc:creator>
  <cp:keywords/>
  <dc:description/>
  <cp:lastModifiedBy>Chrissy Cowan</cp:lastModifiedBy>
  <cp:revision>9</cp:revision>
  <dcterms:created xsi:type="dcterms:W3CDTF">2024-03-29T21:10:00Z</dcterms:created>
  <dcterms:modified xsi:type="dcterms:W3CDTF">2024-04-10T17:46:00Z</dcterms:modified>
</cp:coreProperties>
</file>