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Rule="auto"/>
        <w:rPr>
          <w:color w:val="861714"/>
          <w:sz w:val="40"/>
          <w:szCs w:val="40"/>
        </w:rPr>
      </w:pPr>
      <w:r w:rsidDel="00000000" w:rsidR="00000000" w:rsidRPr="00000000">
        <w:rPr>
          <w:color w:val="861714"/>
          <w:sz w:val="40"/>
          <w:szCs w:val="40"/>
          <w:rtl w:val="0"/>
        </w:rPr>
        <w:t xml:space="preserve">Texas School for the Blind and Visually Impaired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-152366</wp:posOffset>
            </wp:positionH>
            <wp:positionV relativeFrom="paragraph">
              <wp:posOffset>78439</wp:posOffset>
            </wp:positionV>
            <wp:extent cx="1038225" cy="914400"/>
            <wp:effectExtent b="0" l="0" r="0" t="0"/>
            <wp:wrapSquare wrapText="bothSides" distB="0" distT="0" distL="114300" distR="114300"/>
            <wp:docPr descr="TSBVILogoScalable" id="2" name="image1.jpg"/>
            <a:graphic>
              <a:graphicData uri="http://schemas.openxmlformats.org/drawingml/2006/picture">
                <pic:pic>
                  <pic:nvPicPr>
                    <pic:cNvPr descr="TSBVILogoScalable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20" w:before="120" w:lineRule="auto"/>
        <w:rPr>
          <w:color w:val="861714"/>
          <w:sz w:val="32"/>
          <w:szCs w:val="32"/>
        </w:rPr>
      </w:pPr>
      <w:r w:rsidDel="00000000" w:rsidR="00000000" w:rsidRPr="00000000">
        <w:rPr>
          <w:color w:val="861714"/>
          <w:sz w:val="32"/>
          <w:szCs w:val="32"/>
          <w:rtl w:val="0"/>
        </w:rPr>
        <w:t xml:space="preserve">Outreach Programs</w:t>
      </w:r>
    </w:p>
    <w:p w:rsidR="00000000" w:rsidDel="00000000" w:rsidP="00000000" w:rsidRDefault="00000000" w:rsidRPr="00000000" w14:paraId="00000003">
      <w:pPr>
        <w:spacing w:after="120" w:before="120" w:lineRule="auto"/>
        <w:rPr>
          <w:sz w:val="28"/>
          <w:szCs w:val="28"/>
        </w:rPr>
      </w:pPr>
      <w:hyperlink r:id="rId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www.tsbvi.edu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861714"/>
          <w:sz w:val="28"/>
          <w:szCs w:val="28"/>
          <w:rtl w:val="0"/>
        </w:rPr>
        <w:t xml:space="preserve">| 512-454-8631| 1100 W. 45</w:t>
      </w:r>
      <w:r w:rsidDel="00000000" w:rsidR="00000000" w:rsidRPr="00000000">
        <w:rPr>
          <w:color w:val="861714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color w:val="861714"/>
          <w:sz w:val="28"/>
          <w:szCs w:val="28"/>
          <w:rtl w:val="0"/>
        </w:rPr>
        <w:t xml:space="preserve"> St. | Austin, TX 78756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jc w:val="left"/>
        <w:rPr>
          <w:color w:val="861714"/>
        </w:rPr>
      </w:pPr>
      <w:bookmarkStart w:colFirst="0" w:colLast="0" w:name="_gmvlrlaezpsz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6582410" cy="571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73845" y="3770475"/>
                          <a:ext cx="6544310" cy="1905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861714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6582410" cy="571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241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Style w:val="Title"/>
        <w:rPr>
          <w:b w:val="0"/>
          <w:color w:val="861714"/>
        </w:rPr>
      </w:pPr>
      <w:bookmarkStart w:colFirst="0" w:colLast="0" w:name="_gmvlrlaezpsz" w:id="0"/>
      <w:bookmarkEnd w:id="0"/>
      <w:r w:rsidDel="00000000" w:rsidR="00000000" w:rsidRPr="00000000">
        <w:rPr>
          <w:color w:val="861714"/>
          <w:rtl w:val="0"/>
        </w:rPr>
        <w:t xml:space="preserve">Coffee Hour</w:t>
      </w:r>
      <w:r w:rsidDel="00000000" w:rsidR="00000000" w:rsidRPr="00000000">
        <w:rPr>
          <w:b w:val="0"/>
          <w:color w:val="861714"/>
          <w:vertAlign w:val="baseline"/>
          <w:rtl w:val="0"/>
        </w:rPr>
        <w:br w:type="textWrapping"/>
      </w:r>
      <w:r w:rsidDel="00000000" w:rsidR="00000000" w:rsidRPr="00000000">
        <w:rPr>
          <w:color w:val="861714"/>
          <w:rtl w:val="0"/>
        </w:rPr>
        <w:t xml:space="preserve">General Considerations for Supporting Students with Visual Impairments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color w:val="1a3866"/>
        </w:rPr>
      </w:pPr>
      <w:r w:rsidDel="00000000" w:rsidR="00000000" w:rsidRPr="00000000">
        <w:rPr>
          <w:color w:val="1a3866"/>
          <w:rtl w:val="0"/>
        </w:rPr>
        <w:t xml:space="preserve">August 9, 2021</w:t>
      </w:r>
    </w:p>
    <w:p w:rsidR="00000000" w:rsidDel="00000000" w:rsidP="00000000" w:rsidRDefault="00000000" w:rsidRPr="00000000" w14:paraId="00000008">
      <w:pPr>
        <w:jc w:val="center"/>
        <w:rPr>
          <w:color w:val="1a3866"/>
        </w:rPr>
      </w:pPr>
      <w:r w:rsidDel="00000000" w:rsidR="00000000" w:rsidRPr="00000000">
        <w:rPr>
          <w:color w:val="1a3866"/>
          <w:rtl w:val="0"/>
        </w:rPr>
        <w:t xml:space="preserve">Lynne McAlister, Outreach Teacher TSBVI Outreach</w:t>
      </w:r>
    </w:p>
    <w:p w:rsidR="00000000" w:rsidDel="00000000" w:rsidP="00000000" w:rsidRDefault="00000000" w:rsidRPr="00000000" w14:paraId="00000009">
      <w:pPr>
        <w:jc w:val="center"/>
        <w:rPr>
          <w:color w:val="1a3866"/>
        </w:rPr>
      </w:pPr>
      <w:r w:rsidDel="00000000" w:rsidR="00000000" w:rsidRPr="00000000">
        <w:rPr>
          <w:color w:val="1a3866"/>
          <w:rtl w:val="0"/>
        </w:rPr>
        <w:t xml:space="preserve">Kathi Garza, Early Childhood Specialist, TSBVI Outreach</w:t>
      </w:r>
    </w:p>
    <w:p w:rsidR="00000000" w:rsidDel="00000000" w:rsidP="00000000" w:rsidRDefault="00000000" w:rsidRPr="00000000" w14:paraId="0000000A">
      <w:pPr>
        <w:jc w:val="center"/>
        <w:rPr>
          <w:color w:val="1a38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oyiphcp078c0" w:id="1"/>
      <w:bookmarkEnd w:id="1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Today’s Topics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Touch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Concept Development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Incidental Learning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Social Skills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Preparing for a New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4pmdoucu2zu9" w:id="2"/>
      <w:bookmarkEnd w:id="2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Chat Chatter</w:t>
      </w:r>
    </w:p>
    <w:p w:rsidR="00000000" w:rsidDel="00000000" w:rsidP="00000000" w:rsidRDefault="00000000" w:rsidRPr="00000000" w14:paraId="00000013">
      <w:pPr>
        <w:widowControl w:val="0"/>
        <w:spacing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kinds of emotions can touch convey?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Respect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Anger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Gratitude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Love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Trust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6"/>
        </w:numPr>
        <w:spacing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Disgust</w:t>
      </w:r>
    </w:p>
    <w:p w:rsidR="00000000" w:rsidDel="00000000" w:rsidP="00000000" w:rsidRDefault="00000000" w:rsidRPr="00000000" w14:paraId="0000001A">
      <w:pPr>
        <w:widowControl w:val="0"/>
        <w:spacing w:line="276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1jlpqbqlfrg1" w:id="3"/>
      <w:bookmarkEnd w:id="3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Research on Touch</w:t>
      </w:r>
    </w:p>
    <w:p w:rsidR="00000000" w:rsidDel="00000000" w:rsidP="00000000" w:rsidRDefault="00000000" w:rsidRPr="00000000" w14:paraId="0000001C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David Eaglemen conducted a study on touch and the emotions it conveys. 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>
          <w:sz w:val="22"/>
          <w:szCs w:val="22"/>
        </w:rPr>
      </w:pPr>
      <w:hyperlink r:id="rId9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https://www.sappi.com/video-3</w:t>
        </w:r>
      </w:hyperlink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2faj0ltk61w4" w:id="4"/>
      <w:bookmarkEnd w:id="4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Language of the Hands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Barbara Miles makes the following points: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5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remember that hands are eyes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5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touch should be non-controlling.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5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focus on shared attention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5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focus on the child’s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dyy7jmoy6zbe" w:id="5"/>
      <w:bookmarkEnd w:id="5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Literacy Needs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What does a child need to become literate; to read and write with meaning?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Access and exposure to a wide variety of meaningful experiences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Opportunities to explore their world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Experiences that link words to meaning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Knowledge about language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Knowledge about letters &amp; letter sounds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gzni01t21cs7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rPr/>
      </w:pPr>
      <w:bookmarkStart w:colFirst="0" w:colLast="0" w:name="_sp4d4llcgcsl" w:id="7"/>
      <w:bookmarkEnd w:id="7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Hand Over Hand (HOH) vs (Hand Under Hand (HUH)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Video of two adults cleaning a table using hand over hand and an adult working with a student to make muffins using hand under hand. </w:t>
      </w:r>
    </w:p>
    <w:p w:rsidR="00000000" w:rsidDel="00000000" w:rsidP="00000000" w:rsidRDefault="00000000" w:rsidRPr="00000000" w14:paraId="00000030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f6ll0lp53x8y" w:id="8"/>
      <w:bookmarkEnd w:id="8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HOH/HUH Takeaways</w:t>
      </w:r>
    </w:p>
    <w:p w:rsidR="00000000" w:rsidDel="00000000" w:rsidP="00000000" w:rsidRDefault="00000000" w:rsidRPr="00000000" w14:paraId="0000003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Hand OVER Hand Promotes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Defensiveness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Distrust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Retreating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Limited Exploration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Dependence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Negative Behaviors</w:t>
      </w:r>
    </w:p>
    <w:p w:rsidR="00000000" w:rsidDel="00000000" w:rsidP="00000000" w:rsidRDefault="00000000" w:rsidRPr="00000000" w14:paraId="00000039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Hand UNDER Hand Promotes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4"/>
        </w:numPr>
        <w:spacing w:after="0" w:afterAutospacing="0"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Respect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4"/>
        </w:numPr>
        <w:spacing w:after="0" w:afterAutospacing="0"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Trust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4"/>
        </w:numPr>
        <w:spacing w:after="0" w:afterAutospacing="0"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Bodily Autonomy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4"/>
        </w:numPr>
        <w:spacing w:after="0" w:afterAutospacing="0"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Exploration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4"/>
        </w:numPr>
        <w:spacing w:after="0" w:afterAutospacing="0"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Independence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4"/>
        </w:numPr>
        <w:spacing w:after="320"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Tactile Feedback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rPr/>
      </w:pPr>
      <w:bookmarkStart w:colFirst="0" w:colLast="0" w:name="_slralxtv5pob" w:id="9"/>
      <w:bookmarkEnd w:id="9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Chat Chatter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40" w:before="200" w:line="276" w:lineRule="auto"/>
        <w:rPr>
          <w:color w:val="191b0e"/>
          <w:sz w:val="22"/>
          <w:szCs w:val="22"/>
        </w:rPr>
      </w:pPr>
      <w:r w:rsidDel="00000000" w:rsidR="00000000" w:rsidRPr="00000000">
        <w:rPr>
          <w:color w:val="191b0e"/>
          <w:sz w:val="22"/>
          <w:szCs w:val="22"/>
          <w:rtl w:val="0"/>
        </w:rPr>
        <w:t xml:space="preserve">Share about an interaction that went well because you used HUH or an activity where you could apply this skill?</w:t>
      </w:r>
    </w:p>
    <w:p w:rsidR="00000000" w:rsidDel="00000000" w:rsidP="00000000" w:rsidRDefault="00000000" w:rsidRPr="00000000" w14:paraId="00000042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7a1aekeoumjl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1zeqfuyixv4l" w:id="11"/>
      <w:bookmarkEnd w:id="11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Concept Development</w:t>
      </w:r>
    </w:p>
    <w:p w:rsidR="00000000" w:rsidDel="00000000" w:rsidP="00000000" w:rsidRDefault="00000000" w:rsidRPr="00000000" w14:paraId="0000004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Slide shows a cartoon image of an elephant with 6 characters standing at different parts of the animal. Each person is making a guess about what they see based on an individual part of the larger object.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aveephiqa7ko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cxulugrduptb" w:id="13"/>
      <w:bookmarkEnd w:id="13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Visual vs Tactile Learning</w:t>
      </w:r>
    </w:p>
    <w:p w:rsidR="00000000" w:rsidDel="00000000" w:rsidP="00000000" w:rsidRDefault="00000000" w:rsidRPr="00000000" w14:paraId="0000004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Visual Learning (picture of eyes)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Allows for simultaneous perceptions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Information can be gained in single viewing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Allows gathering at a distance </w:t>
      </w:r>
    </w:p>
    <w:p w:rsidR="00000000" w:rsidDel="00000000" w:rsidP="00000000" w:rsidRDefault="00000000" w:rsidRPr="00000000" w14:paraId="0000004B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Tactile Learning (picture of hands)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12"/>
        </w:numPr>
        <w:spacing w:after="0" w:afterAutospacing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Information is gained by exploring one aspect at a time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2"/>
        </w:numPr>
        <w:spacing w:after="0" w:afterAutospacing="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Requires multiple explorations to build the full picture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12"/>
        </w:numPr>
        <w:spacing w:after="320" w:line="276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Requires immediate proximity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kpwn0pptrq8c" w:id="14"/>
      <w:bookmarkEnd w:id="14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Concrete to Abstract</w:t>
      </w:r>
    </w:p>
    <w:p w:rsidR="00000000" w:rsidDel="00000000" w:rsidP="00000000" w:rsidRDefault="00000000" w:rsidRPr="00000000" w14:paraId="0000005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Slide shows 3 images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Image shows a young child holding a real fish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Image shows a line drawing of a fish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Image shows the print word “fish”</w:t>
      </w:r>
    </w:p>
    <w:p w:rsidR="00000000" w:rsidDel="00000000" w:rsidP="00000000" w:rsidRDefault="00000000" w:rsidRPr="00000000" w14:paraId="0000005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Slide shows an image of a pyramid divided into 3 sections and titled “Learning for the Typical Child”</w:t>
      </w:r>
    </w:p>
    <w:p w:rsidR="00000000" w:rsidDel="00000000" w:rsidP="00000000" w:rsidRDefault="00000000" w:rsidRPr="00000000" w14:paraId="00000056">
      <w:pPr>
        <w:numPr>
          <w:ilvl w:val="0"/>
          <w:numId w:val="13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The top section includes the text “Direct Learning” and makes up about 10% of the total pyramid.</w:t>
      </w:r>
    </w:p>
    <w:p w:rsidR="00000000" w:rsidDel="00000000" w:rsidP="00000000" w:rsidRDefault="00000000" w:rsidRPr="00000000" w14:paraId="00000057">
      <w:pPr>
        <w:numPr>
          <w:ilvl w:val="0"/>
          <w:numId w:val="13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The middle section includes the text “Secondary Learning” and makes up about 10% of the total pyramid. </w:t>
      </w:r>
    </w:p>
    <w:p w:rsidR="00000000" w:rsidDel="00000000" w:rsidP="00000000" w:rsidRDefault="00000000" w:rsidRPr="00000000" w14:paraId="00000058">
      <w:pPr>
        <w:numPr>
          <w:ilvl w:val="0"/>
          <w:numId w:val="13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The bottom section includes the text “Incidental Learning” and makes up about 80% of the total pyramid. </w:t>
      </w:r>
    </w:p>
    <w:p w:rsidR="00000000" w:rsidDel="00000000" w:rsidP="00000000" w:rsidRDefault="00000000" w:rsidRPr="00000000" w14:paraId="00000059">
      <w:pPr>
        <w:numPr>
          <w:ilvl w:val="0"/>
          <w:numId w:val="13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See Reference 1 (Alsop)</w:t>
      </w:r>
    </w:p>
    <w:p w:rsidR="00000000" w:rsidDel="00000000" w:rsidP="00000000" w:rsidRDefault="00000000" w:rsidRPr="00000000" w14:paraId="0000005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Slide shows an image of an upside down pyramid divided into 3 sections.</w:t>
      </w:r>
    </w:p>
    <w:p w:rsidR="00000000" w:rsidDel="00000000" w:rsidP="00000000" w:rsidRDefault="00000000" w:rsidRPr="00000000" w14:paraId="0000005C">
      <w:pPr>
        <w:numPr>
          <w:ilvl w:val="0"/>
          <w:numId w:val="1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top section includes the text “Direct Learning Hands on experiences are essential. The best way to learn” and makes up about 80% of the total pyramid.</w:t>
      </w:r>
    </w:p>
    <w:p w:rsidR="00000000" w:rsidDel="00000000" w:rsidP="00000000" w:rsidRDefault="00000000" w:rsidRPr="00000000" w14:paraId="0000005D">
      <w:pPr>
        <w:numPr>
          <w:ilvl w:val="0"/>
          <w:numId w:val="1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middle section includes the text “Secondary is difficult” and makes up about 10% of the total pyramid. </w:t>
      </w:r>
    </w:p>
    <w:p w:rsidR="00000000" w:rsidDel="00000000" w:rsidP="00000000" w:rsidRDefault="00000000" w:rsidRPr="00000000" w14:paraId="0000005E">
      <w:pPr>
        <w:numPr>
          <w:ilvl w:val="0"/>
          <w:numId w:val="1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bottom section includes the text “Incidental usually does not occur and is not effective” and makes up about 10% of the total pyramid. </w:t>
      </w:r>
    </w:p>
    <w:p w:rsidR="00000000" w:rsidDel="00000000" w:rsidP="00000000" w:rsidRDefault="00000000" w:rsidRPr="00000000" w14:paraId="0000005F">
      <w:pPr>
        <w:numPr>
          <w:ilvl w:val="0"/>
          <w:numId w:val="13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See Reference 1 (Alsop)</w:t>
      </w:r>
    </w:p>
    <w:p w:rsidR="00000000" w:rsidDel="00000000" w:rsidP="00000000" w:rsidRDefault="00000000" w:rsidRPr="00000000" w14:paraId="0000006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rPr>
          <w:sz w:val="22"/>
          <w:szCs w:val="22"/>
        </w:rPr>
      </w:pPr>
      <w:bookmarkStart w:colFirst="0" w:colLast="0" w:name="_kozk9jt9e78b" w:id="15"/>
      <w:bookmarkEnd w:id="15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Concepts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Video showing a young child in a home center at her daycare discussing the plastic food items and a deafblind student learning the concepts for clothing with direct instruction. </w:t>
      </w:r>
    </w:p>
    <w:p w:rsidR="00000000" w:rsidDel="00000000" w:rsidP="00000000" w:rsidRDefault="00000000" w:rsidRPr="00000000" w14:paraId="00000063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9zco38mbh60d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xsze8m3htz" w:id="17"/>
      <w:bookmarkEnd w:id="17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Social Skills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11"/>
        </w:numPr>
        <w:spacing w:after="0" w:afterAutospacing="0" w:before="126.308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Appropriate body language 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Social communication and etiquette</w:t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Interactions with others </w:t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11"/>
        </w:numPr>
        <w:spacing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Development of relationships &amp; friendships </w:t>
      </w:r>
    </w:p>
    <w:p w:rsidR="00000000" w:rsidDel="00000000" w:rsidP="00000000" w:rsidRDefault="00000000" w:rsidRPr="00000000" w14:paraId="00000069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fu7ivsmxcvtg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52wxigq8pwcs" w:id="19"/>
      <w:bookmarkEnd w:id="19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Preparing for a New Year</w:t>
      </w:r>
    </w:p>
    <w:p w:rsidR="00000000" w:rsidDel="00000000" w:rsidP="00000000" w:rsidRDefault="00000000" w:rsidRPr="00000000" w14:paraId="0000006B">
      <w:pPr>
        <w:widowControl w:val="0"/>
        <w:numPr>
          <w:ilvl w:val="0"/>
          <w:numId w:val="10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Collaborating with the team</w:t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10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Roles and responsibilities</w:t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10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Promoting independence for the student</w:t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10"/>
        </w:numPr>
        <w:spacing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Conversations with peers </w:t>
      </w:r>
    </w:p>
    <w:p w:rsidR="00000000" w:rsidDel="00000000" w:rsidP="00000000" w:rsidRDefault="00000000" w:rsidRPr="00000000" w14:paraId="0000006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89jr8ebxmy9" w:id="20"/>
      <w:bookmarkEnd w:id="20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hd w:fill="ffffff" w:val="clear"/>
        <w:spacing w:line="240" w:lineRule="auto"/>
        <w:ind w:left="720" w:hanging="360"/>
        <w:rPr/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“Typical Learning vs. Deafblind Learning” from Alsop, L; Berg, C; Hartman, V; Knapp, M; Lauger, K; Levasseur, C; Prouty, M; and Prouty, S. (2012).</w:t>
      </w:r>
      <w:hyperlink r:id="rId10">
        <w:r w:rsidDel="00000000" w:rsidR="00000000" w:rsidRPr="00000000">
          <w:rPr>
            <w:sz w:val="22"/>
            <w:szCs w:val="22"/>
            <w:highlight w:val="white"/>
            <w:rtl w:val="0"/>
          </w:rPr>
          <w:t xml:space="preserve"> </w:t>
        </w:r>
      </w:hyperlink>
      <w:hyperlink r:id="rId11">
        <w:r w:rsidDel="00000000" w:rsidR="00000000" w:rsidRPr="00000000">
          <w:rPr>
            <w:i w:val="1"/>
            <w:color w:val="1155cc"/>
            <w:sz w:val="22"/>
            <w:szCs w:val="22"/>
            <w:highlight w:val="white"/>
            <w:u w:val="single"/>
            <w:rtl w:val="0"/>
          </w:rPr>
          <w:t xml:space="preserve">A Family's Guide to Interveners for Children with Combined Vision and Hearing Loss</w:t>
        </w:r>
      </w:hyperlink>
      <w:r w:rsidDel="00000000" w:rsidR="00000000" w:rsidRPr="00000000">
        <w:rPr>
          <w:sz w:val="22"/>
          <w:szCs w:val="22"/>
          <w:highlight w:val="white"/>
          <w:rtl w:val="0"/>
        </w:rPr>
        <w:t xml:space="preserve">, (p. 13-16). SKI-HI Institute, Utah State University, Logan, Utah. </w:t>
      </w:r>
      <w:hyperlink r:id="rId12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Pyramid reference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Book available for purchase on</w:t>
      </w:r>
      <w:hyperlink r:id="rId13">
        <w:r w:rsidDel="00000000" w:rsidR="00000000" w:rsidRPr="00000000">
          <w:rPr>
            <w:sz w:val="22"/>
            <w:szCs w:val="22"/>
            <w:rtl w:val="0"/>
          </w:rPr>
          <w:t xml:space="preserve"> </w:t>
        </w:r>
      </w:hyperlink>
      <w:hyperlink r:id="rId14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Interveners.org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nk73vezcubtv" w:id="21"/>
      <w:bookmarkEnd w:id="21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Resources</w:t>
      </w:r>
    </w:p>
    <w:p w:rsidR="00000000" w:rsidDel="00000000" w:rsidP="00000000" w:rsidRDefault="00000000" w:rsidRPr="00000000" w14:paraId="00000074">
      <w:pPr>
        <w:numPr>
          <w:ilvl w:val="0"/>
          <w:numId w:val="9"/>
        </w:numPr>
        <w:ind w:left="720" w:hanging="360"/>
        <w:rPr>
          <w:sz w:val="22"/>
          <w:szCs w:val="22"/>
        </w:rPr>
      </w:pPr>
      <w:hyperlink r:id="rId15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Talking the Language of the Hands to the Hands - Barbara Miles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9"/>
        </w:numPr>
        <w:ind w:left="720" w:hanging="360"/>
        <w:rPr>
          <w:sz w:val="22"/>
          <w:szCs w:val="22"/>
        </w:rPr>
      </w:pPr>
      <w:hyperlink r:id="rId1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Chart of Social Skills and 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9"/>
        </w:numPr>
        <w:ind w:left="720" w:hanging="360"/>
        <w:rPr>
          <w:sz w:val="22"/>
          <w:szCs w:val="22"/>
        </w:rPr>
      </w:pPr>
      <w:hyperlink r:id="rId1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David Eagleman Website</w:t>
        </w:r>
      </w:hyperlink>
      <w:r w:rsidDel="00000000" w:rsidR="00000000" w:rsidRPr="00000000">
        <w:rPr>
          <w:sz w:val="22"/>
          <w:szCs w:val="22"/>
          <w:rtl w:val="0"/>
        </w:rPr>
        <w:t xml:space="preserve"> (touch)</w:t>
      </w:r>
    </w:p>
    <w:p w:rsidR="00000000" w:rsidDel="00000000" w:rsidP="00000000" w:rsidRDefault="00000000" w:rsidRPr="00000000" w14:paraId="00000077">
      <w:pPr>
        <w:numPr>
          <w:ilvl w:val="0"/>
          <w:numId w:val="9"/>
        </w:numPr>
        <w:ind w:left="720" w:hanging="360"/>
        <w:rPr>
          <w:sz w:val="22"/>
          <w:szCs w:val="22"/>
        </w:rPr>
      </w:pPr>
      <w:hyperlink r:id="rId1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TSBVI Coffee Hour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1"/>
        <w:rPr>
          <w:b w:val="1"/>
          <w:color w:val="861714"/>
          <w:sz w:val="24"/>
          <w:szCs w:val="24"/>
        </w:rPr>
      </w:pPr>
      <w:bookmarkStart w:colFirst="0" w:colLast="0" w:name="_h3mqv5n9uqpf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1"/>
        <w:rPr>
          <w:sz w:val="22"/>
          <w:szCs w:val="22"/>
        </w:rPr>
      </w:pPr>
      <w:bookmarkStart w:colFirst="0" w:colLast="0" w:name="_e9mayidlxfoh" w:id="23"/>
      <w:bookmarkEnd w:id="23"/>
      <w:r w:rsidDel="00000000" w:rsidR="00000000" w:rsidRPr="00000000">
        <w:rPr>
          <w:b w:val="1"/>
          <w:color w:val="861714"/>
          <w:sz w:val="24"/>
          <w:szCs w:val="24"/>
          <w:rtl w:val="0"/>
        </w:rPr>
        <w:t xml:space="preserve">Contact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Lynne McAlister - </w:t>
      </w:r>
      <w:hyperlink r:id="rId19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mcalisterl@tsbvi.edu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Kathi Garza - </w:t>
      </w:r>
      <w:hyperlink r:id="rId20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garzak@tsbvi.edu</w:t>
        </w:r>
      </w:hyperlink>
      <w:r w:rsidDel="00000000" w:rsidR="00000000" w:rsidRPr="00000000">
        <w:rPr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7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21" w:type="default"/>
      <w:footerReference r:id="rId22" w:type="first"/>
      <w:pgSz w:h="15840" w:w="12240" w:orient="portrait"/>
      <w:pgMar w:bottom="1008" w:top="1008" w:left="1008" w:right="1008" w:header="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1</w:t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right"/>
      <w:pPr>
        <w:ind w:left="72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695d46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120" w:lineRule="auto"/>
    </w:pPr>
    <w:rPr>
      <w:sz w:val="20"/>
      <w:szCs w:val="20"/>
    </w:rPr>
  </w:style>
  <w:style w:type="paragraph" w:styleId="Heading2">
    <w:name w:val="heading 2"/>
    <w:basedOn w:val="Normal"/>
    <w:next w:val="Normal"/>
    <w:pPr>
      <w:keepNext w:val="1"/>
      <w:spacing w:after="60" w:lineRule="auto"/>
    </w:pPr>
    <w:rPr>
      <w:color w:val="1a3866"/>
      <w:sz w:val="40"/>
      <w:szCs w:val="40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color w:val="000000"/>
    </w:rPr>
  </w:style>
  <w:style w:type="paragraph" w:styleId="Heading4">
    <w:name w:val="heading 4"/>
    <w:basedOn w:val="Normal"/>
    <w:next w:val="Normal"/>
    <w:pPr>
      <w:keepNext w:val="1"/>
      <w:spacing w:after="120" w:lineRule="auto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u w:val="single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sz w:val="22"/>
      <w:szCs w:val="22"/>
    </w:rPr>
  </w:style>
  <w:style w:type="paragraph" w:styleId="Subtitle">
    <w:name w:val="Subtitle"/>
    <w:basedOn w:val="Normal"/>
    <w:next w:val="Normal"/>
    <w:pPr>
      <w:spacing w:after="240" w:lineRule="auto"/>
      <w:jc w:val="center"/>
    </w:pPr>
    <w:rPr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garzak@tsbvi.edu" TargetMode="External"/><Relationship Id="rId11" Type="http://schemas.openxmlformats.org/officeDocument/2006/relationships/hyperlink" Target="http://www.sparkle.usu.edu/images/A%20Family's%20Guide%20to%20Interveners.pdf" TargetMode="External"/><Relationship Id="rId22" Type="http://schemas.openxmlformats.org/officeDocument/2006/relationships/footer" Target="footer1.xml"/><Relationship Id="rId10" Type="http://schemas.openxmlformats.org/officeDocument/2006/relationships/hyperlink" Target="http://www.sparkle.usu.edu/images/A%20Family's%20Guide%20to%20Interveners.pdf" TargetMode="External"/><Relationship Id="rId21" Type="http://schemas.openxmlformats.org/officeDocument/2006/relationships/footer" Target="footer2.xml"/><Relationship Id="rId13" Type="http://schemas.openxmlformats.org/officeDocument/2006/relationships/hyperlink" Target="http://intervener.org/resources/" TargetMode="External"/><Relationship Id="rId12" Type="http://schemas.openxmlformats.org/officeDocument/2006/relationships/hyperlink" Target="http://intervener.org/resources/Pyramid-of-Learning-2013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appi.com/video-3" TargetMode="External"/><Relationship Id="rId15" Type="http://schemas.openxmlformats.org/officeDocument/2006/relationships/hyperlink" Target="https://www.nationaldb.org/info-center/talking-hands-to-hands-factsheet/" TargetMode="External"/><Relationship Id="rId14" Type="http://schemas.openxmlformats.org/officeDocument/2006/relationships/hyperlink" Target="http://intervener.org/resources/" TargetMode="External"/><Relationship Id="rId17" Type="http://schemas.openxmlformats.org/officeDocument/2006/relationships/hyperlink" Target="https://www.sappi.com/video-3" TargetMode="External"/><Relationship Id="rId16" Type="http://schemas.openxmlformats.org/officeDocument/2006/relationships/hyperlink" Target="https://drive.google.com/file/d/1P1lsSEap-jB7ydEqGxbUHjEDh8wvo_SD/view" TargetMode="External"/><Relationship Id="rId5" Type="http://schemas.openxmlformats.org/officeDocument/2006/relationships/styles" Target="styles.xml"/><Relationship Id="rId19" Type="http://schemas.openxmlformats.org/officeDocument/2006/relationships/hyperlink" Target="mailto:mcalisterl@tsbvi.edu" TargetMode="External"/><Relationship Id="rId6" Type="http://schemas.openxmlformats.org/officeDocument/2006/relationships/image" Target="media/image1.jpg"/><Relationship Id="rId18" Type="http://schemas.openxmlformats.org/officeDocument/2006/relationships/hyperlink" Target="https://www.tsbvi.edu/coffeehour" TargetMode="External"/><Relationship Id="rId7" Type="http://schemas.openxmlformats.org/officeDocument/2006/relationships/hyperlink" Target="http://www.tsbvi.edu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