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pPr>
      <w:r w:rsidDel="00000000" w:rsidR="00000000" w:rsidRPr="00000000">
        <w:rPr>
          <w:rtl w:val="0"/>
        </w:rPr>
      </w:r>
    </w:p>
    <w:tbl>
      <w:tblPr>
        <w:tblStyle w:val="Table1"/>
        <w:tblW w:w="1084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8895"/>
        <w:tblGridChange w:id="0">
          <w:tblGrid>
            <w:gridCol w:w="1950"/>
            <w:gridCol w:w="8895"/>
          </w:tblGrid>
        </w:tblGridChange>
      </w:tblGrid>
      <w:tr>
        <w:trPr>
          <w:cantSplit w:val="0"/>
          <w:trHeight w:val="2016" w:hRule="atLeast"/>
          <w:tblHeader w:val="0"/>
        </w:trPr>
        <w:tc>
          <w:tcPr>
            <w:shd w:fill="auto" w:val="clear"/>
          </w:tcPr>
          <w:p w:rsidR="00000000" w:rsidDel="00000000" w:rsidP="00000000" w:rsidRDefault="00000000" w:rsidRPr="00000000" w14:paraId="00000002">
            <w:pPr>
              <w:spacing w:after="120" w:before="120" w:line="240" w:lineRule="auto"/>
              <w:ind w:left="-630" w:firstLine="0"/>
              <w:rPr>
                <w:color w:val="861714"/>
                <w:sz w:val="32"/>
                <w:szCs w:val="32"/>
              </w:rPr>
            </w:pPr>
            <w:bookmarkStart w:colFirst="0" w:colLast="0" w:name="_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33338</wp:posOffset>
                  </wp:positionH>
                  <wp:positionV relativeFrom="paragraph">
                    <wp:posOffset>95250</wp:posOffset>
                  </wp:positionV>
                  <wp:extent cx="1033463" cy="914400"/>
                  <wp:effectExtent b="0" l="0" r="0" t="0"/>
                  <wp:wrapNone/>
                  <wp:docPr descr="TSBVILogoScalable" id="2" name="image1.jpg"/>
                  <a:graphic>
                    <a:graphicData uri="http://schemas.openxmlformats.org/drawingml/2006/picture">
                      <pic:pic>
                        <pic:nvPicPr>
                          <pic:cNvPr descr="TSBVILogoScalable" id="0" name="image1.jpg"/>
                          <pic:cNvPicPr preferRelativeResize="0"/>
                        </pic:nvPicPr>
                        <pic:blipFill>
                          <a:blip r:embed="rId6"/>
                          <a:srcRect b="0" l="0" r="0" t="0"/>
                          <a:stretch>
                            <a:fillRect/>
                          </a:stretch>
                        </pic:blipFill>
                        <pic:spPr>
                          <a:xfrm>
                            <a:off x="0" y="0"/>
                            <a:ext cx="1033463"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1155700</wp:posOffset>
                      </wp:positionV>
                      <wp:extent cx="6934200" cy="152400"/>
                      <wp:effectExtent b="0" l="0" r="0" t="0"/>
                      <wp:wrapNone/>
                      <wp:docPr id="1" name=""/>
                      <a:graphic>
                        <a:graphicData uri="http://schemas.microsoft.com/office/word/2010/wordprocessingShape">
                          <wps:wsp>
                            <wps:cNvCnPr/>
                            <wps:spPr>
                              <a:xfrm>
                                <a:off x="1936050" y="3780000"/>
                                <a:ext cx="6819900" cy="0"/>
                              </a:xfrm>
                              <a:prstGeom prst="straightConnector1">
                                <a:avLst/>
                              </a:prstGeom>
                              <a:noFill/>
                              <a:ln cap="flat" cmpd="sng" w="38100">
                                <a:solidFill>
                                  <a:srgbClr val="861714"/>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1155700</wp:posOffset>
                      </wp:positionV>
                      <wp:extent cx="6934200" cy="1524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34200" cy="152400"/>
                              </a:xfrm>
                              <a:prstGeom prst="rect"/>
                              <a:ln/>
                            </pic:spPr>
                          </pic:pic>
                        </a:graphicData>
                      </a:graphic>
                    </wp:anchor>
                  </w:drawing>
                </mc:Fallback>
              </mc:AlternateContent>
            </w:r>
          </w:p>
        </w:tc>
        <w:tc>
          <w:tcPr>
            <w:shd w:fill="auto" w:val="clear"/>
          </w:tcPr>
          <w:p w:rsidR="00000000" w:rsidDel="00000000" w:rsidP="00000000" w:rsidRDefault="00000000" w:rsidRPr="00000000" w14:paraId="00000003">
            <w:pPr>
              <w:spacing w:after="120" w:before="120" w:line="240" w:lineRule="auto"/>
              <w:rPr>
                <w:color w:val="861714"/>
                <w:sz w:val="40"/>
                <w:szCs w:val="40"/>
              </w:rPr>
            </w:pPr>
            <w:r w:rsidDel="00000000" w:rsidR="00000000" w:rsidRPr="00000000">
              <w:rPr>
                <w:color w:val="861714"/>
                <w:sz w:val="40"/>
                <w:szCs w:val="40"/>
                <w:rtl w:val="0"/>
              </w:rPr>
              <w:t xml:space="preserve">Texas School for the Blind and Visually Impaired</w:t>
            </w:r>
          </w:p>
          <w:p w:rsidR="00000000" w:rsidDel="00000000" w:rsidP="00000000" w:rsidRDefault="00000000" w:rsidRPr="00000000" w14:paraId="00000004">
            <w:pPr>
              <w:spacing w:after="120" w:before="120" w:line="240" w:lineRule="auto"/>
              <w:rPr>
                <w:color w:val="861714"/>
                <w:sz w:val="32"/>
                <w:szCs w:val="32"/>
              </w:rPr>
            </w:pPr>
            <w:r w:rsidDel="00000000" w:rsidR="00000000" w:rsidRPr="00000000">
              <w:rPr>
                <w:color w:val="861714"/>
                <w:sz w:val="32"/>
                <w:szCs w:val="32"/>
                <w:rtl w:val="0"/>
              </w:rPr>
              <w:t xml:space="preserve">Outreach Programs</w:t>
            </w:r>
          </w:p>
          <w:p w:rsidR="00000000" w:rsidDel="00000000" w:rsidP="00000000" w:rsidRDefault="00000000" w:rsidRPr="00000000" w14:paraId="00000005">
            <w:pPr>
              <w:spacing w:after="120" w:before="120" w:line="240" w:lineRule="auto"/>
              <w:rPr>
                <w:color w:val="861714"/>
                <w:sz w:val="32"/>
                <w:szCs w:val="32"/>
              </w:rPr>
            </w:pPr>
            <w:hyperlink r:id="rId8">
              <w:r w:rsidDel="00000000" w:rsidR="00000000" w:rsidRPr="00000000">
                <w:rPr>
                  <w:color w:val="0000ff"/>
                  <w:sz w:val="28"/>
                  <w:szCs w:val="28"/>
                  <w:u w:val="single"/>
                  <w:rtl w:val="0"/>
                </w:rPr>
                <w:t xml:space="preserve">www.tsbvi.edu</w:t>
              </w:r>
            </w:hyperlink>
            <w:r w:rsidDel="00000000" w:rsidR="00000000" w:rsidRPr="00000000">
              <w:rPr>
                <w:color w:val="861714"/>
                <w:sz w:val="28"/>
                <w:szCs w:val="28"/>
                <w:rtl w:val="0"/>
              </w:rPr>
              <w:t xml:space="preserve"> | 512-454-8631 | 1100 W. 45</w:t>
            </w:r>
            <w:r w:rsidDel="00000000" w:rsidR="00000000" w:rsidRPr="00000000">
              <w:rPr>
                <w:color w:val="861714"/>
                <w:sz w:val="28"/>
                <w:szCs w:val="28"/>
                <w:vertAlign w:val="superscript"/>
                <w:rtl w:val="0"/>
              </w:rPr>
              <w:t xml:space="preserve">th</w:t>
            </w:r>
            <w:r w:rsidDel="00000000" w:rsidR="00000000" w:rsidRPr="00000000">
              <w:rPr>
                <w:color w:val="861714"/>
                <w:sz w:val="28"/>
                <w:szCs w:val="28"/>
                <w:rtl w:val="0"/>
              </w:rPr>
              <w:t xml:space="preserve"> St. | Austin, TX 78756</w:t>
            </w:r>
            <w:r w:rsidDel="00000000" w:rsidR="00000000" w:rsidRPr="00000000">
              <w:rPr>
                <w:rtl w:val="0"/>
              </w:rPr>
            </w:r>
          </w:p>
        </w:tc>
      </w:tr>
    </w:tbl>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pStyle w:val="Title"/>
        <w:keepNext w:val="0"/>
        <w:keepLines w:val="0"/>
        <w:spacing w:line="240" w:lineRule="auto"/>
        <w:jc w:val="center"/>
        <w:rPr/>
      </w:pPr>
      <w:bookmarkStart w:colFirst="0" w:colLast="0" w:name="_3xtx4l1huoyd" w:id="1"/>
      <w:bookmarkEnd w:id="1"/>
      <w:r w:rsidDel="00000000" w:rsidR="00000000" w:rsidRPr="00000000">
        <w:rPr>
          <w:rtl w:val="0"/>
        </w:rPr>
        <w:t xml:space="preserve">Vision to Reality: Designing Transition Plans that Work</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jc w:val="center"/>
        <w:rPr/>
      </w:pPr>
      <w:r w:rsidDel="00000000" w:rsidR="00000000" w:rsidRPr="00000000">
        <w:rPr>
          <w:rtl w:val="0"/>
        </w:rPr>
        <w:t xml:space="preserve">Belinda Fayard, Outreach Assistant Director </w:t>
      </w:r>
    </w:p>
    <w:p w:rsidR="00000000" w:rsidDel="00000000" w:rsidP="00000000" w:rsidRDefault="00000000" w:rsidRPr="00000000" w14:paraId="0000000A">
      <w:pPr>
        <w:spacing w:line="276" w:lineRule="auto"/>
        <w:jc w:val="center"/>
        <w:rPr/>
      </w:pPr>
      <w:hyperlink r:id="rId9">
        <w:r w:rsidDel="00000000" w:rsidR="00000000" w:rsidRPr="00000000">
          <w:rPr>
            <w:color w:val="1155cc"/>
            <w:u w:val="single"/>
            <w:rtl w:val="0"/>
          </w:rPr>
          <w:t xml:space="preserve">fayardb@tsbvi.edu</w:t>
        </w:r>
      </w:hyperlink>
      <w:r w:rsidDel="00000000" w:rsidR="00000000" w:rsidRPr="00000000">
        <w:rPr>
          <w:rtl w:val="0"/>
        </w:rPr>
      </w:r>
    </w:p>
    <w:p w:rsidR="00000000" w:rsidDel="00000000" w:rsidP="00000000" w:rsidRDefault="00000000" w:rsidRPr="00000000" w14:paraId="0000000B">
      <w:pPr>
        <w:spacing w:line="276" w:lineRule="auto"/>
        <w:jc w:val="center"/>
        <w:rPr/>
      </w:pPr>
      <w:hyperlink r:id="rId10">
        <w:r w:rsidDel="00000000" w:rsidR="00000000" w:rsidRPr="00000000">
          <w:rPr>
            <w:color w:val="1155cc"/>
            <w:u w:val="single"/>
            <w:rtl w:val="0"/>
          </w:rPr>
          <w:t xml:space="preserve">tsbvi.edu/outreach</w:t>
        </w:r>
      </w:hyperlink>
      <w:r w:rsidDel="00000000" w:rsidR="00000000" w:rsidRPr="00000000">
        <w:rPr>
          <w:rtl w:val="0"/>
        </w:rPr>
      </w:r>
    </w:p>
    <w:p w:rsidR="00000000" w:rsidDel="00000000" w:rsidP="00000000" w:rsidRDefault="00000000" w:rsidRPr="00000000" w14:paraId="0000000C">
      <w:pPr>
        <w:spacing w:line="276" w:lineRule="auto"/>
        <w:jc w:val="center"/>
        <w:rPr>
          <w:color w:val="595959"/>
          <w:sz w:val="34"/>
          <w:szCs w:val="34"/>
        </w:rPr>
      </w:pPr>
      <w:r w:rsidDel="00000000" w:rsidR="00000000" w:rsidRPr="00000000">
        <w:rPr>
          <w:rtl w:val="0"/>
        </w:rPr>
      </w:r>
    </w:p>
    <w:p w:rsidR="00000000" w:rsidDel="00000000" w:rsidP="00000000" w:rsidRDefault="00000000" w:rsidRPr="00000000" w14:paraId="0000000D">
      <w:pPr>
        <w:pStyle w:val="Heading1"/>
        <w:spacing w:line="276" w:lineRule="auto"/>
        <w:rPr>
          <w:b w:val="1"/>
          <w:bCs w:val="1"/>
        </w:rPr>
      </w:pPr>
      <w:bookmarkStart w:colFirst="0" w:colLast="0" w:name="_bk9ihjxuty32" w:id="2"/>
      <w:bookmarkEnd w:id="2"/>
      <w:r w:rsidDel="00000000" w:rsidR="00000000" w:rsidRPr="00000000">
        <w:rPr>
          <w:b w:val="1"/>
          <w:bCs w:val="1"/>
          <w:rtl w:val="0"/>
        </w:rPr>
        <w:t xml:space="preserve">Objectives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sz w:val="28"/>
          <w:szCs w:val="28"/>
        </w:rPr>
      </w:pPr>
      <w:r w:rsidDel="00000000" w:rsidR="00000000" w:rsidRPr="00000000">
        <w:rPr>
          <w:sz w:val="28"/>
          <w:szCs w:val="28"/>
          <w:rtl w:val="0"/>
        </w:rPr>
        <w:t xml:space="preserve">Identify the legal requirements of Transition</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Clarify the VI Professional’s Role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8"/>
          <w:szCs w:val="28"/>
        </w:rPr>
      </w:pPr>
      <w:r w:rsidDel="00000000" w:rsidR="00000000" w:rsidRPr="00000000">
        <w:rPr>
          <w:sz w:val="28"/>
          <w:szCs w:val="28"/>
          <w:rtl w:val="0"/>
        </w:rPr>
        <w:t xml:space="preserve">Identify Resources and Tools that lead to Transition Plans that work for your students</w:t>
      </w:r>
      <w:r w:rsidDel="00000000" w:rsidR="00000000" w:rsidRPr="00000000">
        <w:rPr>
          <w:rtl w:val="0"/>
        </w:rPr>
      </w:r>
    </w:p>
    <w:p w:rsidR="00000000" w:rsidDel="00000000" w:rsidP="00000000" w:rsidRDefault="00000000" w:rsidRPr="00000000" w14:paraId="00000011">
      <w:pPr>
        <w:pStyle w:val="Heading1"/>
        <w:spacing w:line="360" w:lineRule="auto"/>
        <w:ind w:left="20" w:firstLine="0"/>
        <w:rPr>
          <w:b w:val="1"/>
          <w:bCs w:val="1"/>
        </w:rPr>
      </w:pPr>
      <w:bookmarkStart w:colFirst="0" w:colLast="0" w:name="_jho530cmfhhn" w:id="3"/>
      <w:bookmarkEnd w:id="3"/>
      <w:r w:rsidDel="00000000" w:rsidR="00000000" w:rsidRPr="00000000">
        <w:rPr>
          <w:b w:val="1"/>
          <w:bCs w:val="1"/>
          <w:rtl w:val="0"/>
        </w:rPr>
        <w:t xml:space="preserve">Transition Requirements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sz w:val="28"/>
          <w:szCs w:val="28"/>
        </w:rPr>
      </w:pPr>
      <w:r w:rsidDel="00000000" w:rsidR="00000000" w:rsidRPr="00000000">
        <w:rPr>
          <w:sz w:val="28"/>
          <w:szCs w:val="28"/>
          <w:rtl w:val="0"/>
        </w:rPr>
        <w:t xml:space="preserve">Begin at 14 in Texas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Based on age-appropriate assessments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Include coordinated, measurable, annual goals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Training/Education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Employment</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Independent living skills, where appropriate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The student must be involved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Family members/guardians must be involved - at 18, the student chooses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Opportunities to develop decision-making skills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8"/>
          <w:szCs w:val="28"/>
        </w:rPr>
      </w:pPr>
      <w:r w:rsidDel="00000000" w:rsidR="00000000" w:rsidRPr="00000000">
        <w:rPr>
          <w:sz w:val="28"/>
          <w:szCs w:val="28"/>
          <w:rtl w:val="0"/>
        </w:rPr>
        <w:t xml:space="preserve">Options supporting students’ legal choices for independence</w:t>
      </w:r>
    </w:p>
    <w:p w:rsidR="00000000" w:rsidDel="00000000" w:rsidP="00000000" w:rsidRDefault="00000000" w:rsidRPr="00000000" w14:paraId="0000001C">
      <w:pPr>
        <w:pStyle w:val="Heading1"/>
        <w:spacing w:line="360" w:lineRule="auto"/>
        <w:rPr>
          <w:b w:val="1"/>
          <w:bCs w:val="1"/>
        </w:rPr>
      </w:pPr>
      <w:bookmarkStart w:colFirst="0" w:colLast="0" w:name="_ocu5psxw2osg" w:id="4"/>
      <w:bookmarkEnd w:id="4"/>
      <w:r w:rsidDel="00000000" w:rsidR="00000000" w:rsidRPr="00000000">
        <w:rPr>
          <w:b w:val="1"/>
          <w:bCs w:val="1"/>
          <w:rtl w:val="0"/>
        </w:rPr>
        <w:t xml:space="preserve">Defining a Transition Plan</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sz w:val="28"/>
          <w:szCs w:val="28"/>
        </w:rPr>
      </w:pPr>
      <w:r w:rsidDel="00000000" w:rsidR="00000000" w:rsidRPr="00000000">
        <w:rPr>
          <w:sz w:val="28"/>
          <w:szCs w:val="28"/>
          <w:rtl w:val="0"/>
        </w:rPr>
        <w:t xml:space="preserve">Student driven</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sz w:val="28"/>
          <w:szCs w:val="28"/>
        </w:rPr>
      </w:pPr>
      <w:r w:rsidDel="00000000" w:rsidR="00000000" w:rsidRPr="00000000">
        <w:rPr>
          <w:sz w:val="28"/>
          <w:szCs w:val="28"/>
          <w:rtl w:val="0"/>
        </w:rPr>
        <w:t xml:space="preserve">Evaluation</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Community connected</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sz w:val="28"/>
          <w:szCs w:val="28"/>
        </w:rPr>
      </w:pPr>
      <w:r w:rsidDel="00000000" w:rsidR="00000000" w:rsidRPr="00000000">
        <w:rPr>
          <w:sz w:val="28"/>
          <w:szCs w:val="28"/>
          <w:rtl w:val="0"/>
        </w:rPr>
        <w:t xml:space="preserve">Input gathered</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Experience matters</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1440" w:right="0" w:hanging="360"/>
        <w:jc w:val="left"/>
        <w:rPr>
          <w:sz w:val="28"/>
          <w:szCs w:val="28"/>
        </w:rPr>
      </w:pPr>
      <w:r w:rsidDel="00000000" w:rsidR="00000000" w:rsidRPr="00000000">
        <w:rPr>
          <w:sz w:val="28"/>
          <w:szCs w:val="28"/>
          <w:rtl w:val="0"/>
        </w:rPr>
        <w:t xml:space="preserve">Discovery activities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8"/>
          <w:szCs w:val="28"/>
        </w:rPr>
      </w:pPr>
      <w:r w:rsidDel="00000000" w:rsidR="00000000" w:rsidRPr="00000000">
        <w:rPr>
          <w:sz w:val="28"/>
          <w:szCs w:val="28"/>
          <w:rtl w:val="0"/>
        </w:rPr>
        <w:t xml:space="preserve">INDIVIDUALIZED</w:t>
      </w:r>
    </w:p>
    <w:p w:rsidR="00000000" w:rsidDel="00000000" w:rsidP="00000000" w:rsidRDefault="00000000" w:rsidRPr="00000000" w14:paraId="00000024">
      <w:pPr>
        <w:pStyle w:val="Heading1"/>
        <w:spacing w:line="276" w:lineRule="auto"/>
        <w:rPr>
          <w:b w:val="1"/>
          <w:bCs w:val="1"/>
        </w:rPr>
      </w:pPr>
      <w:bookmarkStart w:colFirst="0" w:colLast="0" w:name="_p14o1ghf7777" w:id="5"/>
      <w:bookmarkEnd w:id="5"/>
      <w:r w:rsidDel="00000000" w:rsidR="00000000" w:rsidRPr="00000000">
        <w:rPr>
          <w:b w:val="1"/>
          <w:bCs w:val="1"/>
          <w:rtl w:val="0"/>
        </w:rPr>
        <w:t xml:space="preserve">Transition Plan Requirements</w:t>
      </w:r>
    </w:p>
    <w:p w:rsidR="00000000" w:rsidDel="00000000" w:rsidP="00000000" w:rsidRDefault="00000000" w:rsidRPr="00000000" w14:paraId="00000025">
      <w:pPr>
        <w:pStyle w:val="Heading1"/>
        <w:spacing w:line="276" w:lineRule="auto"/>
        <w:rPr>
          <w:sz w:val="28"/>
          <w:szCs w:val="28"/>
        </w:rPr>
      </w:pPr>
      <w:bookmarkStart w:colFirst="0" w:colLast="0" w:name="_vbqyd8eejpcw" w:id="6"/>
      <w:bookmarkEnd w:id="6"/>
      <w:r w:rsidDel="00000000" w:rsidR="00000000" w:rsidRPr="00000000">
        <w:rPr>
          <w:sz w:val="28"/>
          <w:szCs w:val="28"/>
          <w:rtl w:val="0"/>
        </w:rPr>
        <w:t xml:space="preserve">The “Plan” must include:</w:t>
      </w:r>
    </w:p>
    <w:p w:rsidR="00000000" w:rsidDel="00000000" w:rsidP="00000000" w:rsidRDefault="00000000" w:rsidRPr="00000000" w14:paraId="00000026">
      <w:pPr>
        <w:numPr>
          <w:ilvl w:val="0"/>
          <w:numId w:val="2"/>
        </w:numPr>
        <w:spacing w:after="0" w:afterAutospacing="0" w:before="240" w:line="276" w:lineRule="auto"/>
        <w:ind w:left="720" w:hanging="360"/>
        <w:rPr>
          <w:sz w:val="28"/>
          <w:szCs w:val="28"/>
          <w:u w:val="none"/>
        </w:rPr>
      </w:pPr>
      <w:r w:rsidDel="00000000" w:rsidR="00000000" w:rsidRPr="00000000">
        <w:rPr>
          <w:sz w:val="28"/>
          <w:szCs w:val="28"/>
          <w:rtl w:val="0"/>
        </w:rPr>
        <w:t xml:space="preserve">Course of Study</w:t>
      </w:r>
    </w:p>
    <w:p w:rsidR="00000000" w:rsidDel="00000000" w:rsidP="00000000" w:rsidRDefault="00000000" w:rsidRPr="00000000" w14:paraId="00000027">
      <w:pPr>
        <w:numPr>
          <w:ilvl w:val="0"/>
          <w:numId w:val="2"/>
        </w:numPr>
        <w:spacing w:after="0" w:afterAutospacing="0" w:before="0" w:beforeAutospacing="0" w:line="276" w:lineRule="auto"/>
        <w:ind w:left="720" w:hanging="360"/>
        <w:rPr>
          <w:sz w:val="28"/>
          <w:szCs w:val="28"/>
          <w:u w:val="none"/>
        </w:rPr>
      </w:pPr>
      <w:r w:rsidDel="00000000" w:rsidR="00000000" w:rsidRPr="00000000">
        <w:rPr>
          <w:sz w:val="28"/>
          <w:szCs w:val="28"/>
          <w:rtl w:val="0"/>
        </w:rPr>
        <w:t xml:space="preserve">Employment</w:t>
      </w:r>
    </w:p>
    <w:p w:rsidR="00000000" w:rsidDel="00000000" w:rsidP="00000000" w:rsidRDefault="00000000" w:rsidRPr="00000000" w14:paraId="00000028">
      <w:pPr>
        <w:numPr>
          <w:ilvl w:val="0"/>
          <w:numId w:val="2"/>
        </w:numPr>
        <w:spacing w:after="0" w:afterAutospacing="0" w:before="0" w:beforeAutospacing="0" w:line="276" w:lineRule="auto"/>
        <w:ind w:left="720" w:hanging="360"/>
        <w:rPr>
          <w:sz w:val="28"/>
          <w:szCs w:val="28"/>
          <w:u w:val="none"/>
        </w:rPr>
      </w:pPr>
      <w:r w:rsidDel="00000000" w:rsidR="00000000" w:rsidRPr="00000000">
        <w:rPr>
          <w:sz w:val="28"/>
          <w:szCs w:val="28"/>
          <w:rtl w:val="0"/>
        </w:rPr>
        <w:t xml:space="preserve">Functional Vocational Evaluation</w:t>
      </w:r>
    </w:p>
    <w:p w:rsidR="00000000" w:rsidDel="00000000" w:rsidP="00000000" w:rsidRDefault="00000000" w:rsidRPr="00000000" w14:paraId="00000029">
      <w:pPr>
        <w:numPr>
          <w:ilvl w:val="0"/>
          <w:numId w:val="2"/>
        </w:numPr>
        <w:spacing w:after="0" w:afterAutospacing="0" w:before="0" w:beforeAutospacing="0" w:line="276" w:lineRule="auto"/>
        <w:ind w:left="720" w:hanging="360"/>
        <w:rPr>
          <w:sz w:val="28"/>
          <w:szCs w:val="28"/>
          <w:u w:val="none"/>
        </w:rPr>
      </w:pPr>
      <w:r w:rsidDel="00000000" w:rsidR="00000000" w:rsidRPr="00000000">
        <w:rPr>
          <w:sz w:val="28"/>
          <w:szCs w:val="28"/>
          <w:rtl w:val="0"/>
        </w:rPr>
        <w:t xml:space="preserve">Community Experiences</w:t>
      </w:r>
    </w:p>
    <w:p w:rsidR="00000000" w:rsidDel="00000000" w:rsidP="00000000" w:rsidRDefault="00000000" w:rsidRPr="00000000" w14:paraId="0000002A">
      <w:pPr>
        <w:numPr>
          <w:ilvl w:val="0"/>
          <w:numId w:val="2"/>
        </w:numPr>
        <w:spacing w:after="0" w:afterAutospacing="0" w:before="0" w:beforeAutospacing="0" w:line="276" w:lineRule="auto"/>
        <w:ind w:left="720" w:hanging="360"/>
        <w:rPr>
          <w:sz w:val="28"/>
          <w:szCs w:val="28"/>
          <w:u w:val="none"/>
        </w:rPr>
      </w:pPr>
      <w:r w:rsidDel="00000000" w:rsidR="00000000" w:rsidRPr="00000000">
        <w:rPr>
          <w:sz w:val="28"/>
          <w:szCs w:val="28"/>
          <w:rtl w:val="0"/>
        </w:rPr>
        <w:t xml:space="preserve">Post-school and adult living objectives</w:t>
      </w:r>
    </w:p>
    <w:p w:rsidR="00000000" w:rsidDel="00000000" w:rsidP="00000000" w:rsidRDefault="00000000" w:rsidRPr="00000000" w14:paraId="0000002B">
      <w:pPr>
        <w:numPr>
          <w:ilvl w:val="0"/>
          <w:numId w:val="2"/>
        </w:numPr>
        <w:spacing w:after="0" w:afterAutospacing="0" w:before="0" w:beforeAutospacing="0" w:line="276" w:lineRule="auto"/>
        <w:ind w:left="720" w:hanging="360"/>
        <w:rPr>
          <w:sz w:val="28"/>
          <w:szCs w:val="28"/>
          <w:u w:val="none"/>
        </w:rPr>
      </w:pPr>
      <w:r w:rsidDel="00000000" w:rsidR="00000000" w:rsidRPr="00000000">
        <w:rPr>
          <w:sz w:val="28"/>
          <w:szCs w:val="28"/>
          <w:rtl w:val="0"/>
        </w:rPr>
        <w:t xml:space="preserve">Daily Living Skills</w:t>
      </w:r>
    </w:p>
    <w:p w:rsidR="00000000" w:rsidDel="00000000" w:rsidP="00000000" w:rsidRDefault="00000000" w:rsidRPr="00000000" w14:paraId="0000002C">
      <w:pPr>
        <w:numPr>
          <w:ilvl w:val="0"/>
          <w:numId w:val="2"/>
        </w:numPr>
        <w:spacing w:after="240" w:before="0" w:beforeAutospacing="0" w:line="276" w:lineRule="auto"/>
        <w:ind w:left="720" w:hanging="360"/>
        <w:rPr>
          <w:sz w:val="28"/>
          <w:szCs w:val="28"/>
          <w:u w:val="none"/>
        </w:rPr>
      </w:pPr>
      <w:r w:rsidDel="00000000" w:rsidR="00000000" w:rsidRPr="00000000">
        <w:rPr>
          <w:sz w:val="28"/>
          <w:szCs w:val="28"/>
          <w:rtl w:val="0"/>
        </w:rPr>
        <w:t xml:space="preserve">Related Services</w:t>
      </w:r>
    </w:p>
    <w:p w:rsidR="00000000" w:rsidDel="00000000" w:rsidP="00000000" w:rsidRDefault="00000000" w:rsidRPr="00000000" w14:paraId="0000002D">
      <w:pPr>
        <w:pStyle w:val="Heading1"/>
        <w:spacing w:after="240" w:before="240" w:line="276" w:lineRule="auto"/>
        <w:rPr>
          <w:b w:val="1"/>
          <w:bCs w:val="1"/>
        </w:rPr>
      </w:pPr>
      <w:bookmarkStart w:colFirst="0" w:colLast="0" w:name="_v9w34pf64p3u" w:id="7"/>
      <w:bookmarkEnd w:id="7"/>
      <w:r w:rsidDel="00000000" w:rsidR="00000000" w:rsidRPr="00000000">
        <w:rPr>
          <w:b w:val="1"/>
          <w:bCs w:val="1"/>
          <w:rtl w:val="0"/>
        </w:rPr>
        <w:t xml:space="preserve">Functional Vocational Evaluation Sources</w:t>
      </w:r>
    </w:p>
    <w:p w:rsidR="00000000" w:rsidDel="00000000" w:rsidP="00000000" w:rsidRDefault="00000000" w:rsidRPr="00000000" w14:paraId="0000002E">
      <w:pPr>
        <w:rPr/>
      </w:pPr>
      <w:r w:rsidDel="00000000" w:rsidR="00000000" w:rsidRPr="00000000">
        <w:rPr>
          <w:sz w:val="28"/>
          <w:szCs w:val="28"/>
          <w:rtl w:val="0"/>
        </w:rPr>
        <w:t xml:space="preserve">Formal and Informal data are gathered from a variety of sources to complete a Functional Vocational Evaluation - it is not a “single test.”</w:t>
      </w:r>
      <w:r w:rsidDel="00000000" w:rsidR="00000000" w:rsidRPr="00000000">
        <w:rPr>
          <w:rtl w:val="0"/>
        </w:rPr>
      </w:r>
    </w:p>
    <w:p w:rsidR="00000000" w:rsidDel="00000000" w:rsidP="00000000" w:rsidRDefault="00000000" w:rsidRPr="00000000" w14:paraId="0000002F">
      <w:pPr>
        <w:spacing w:after="240" w:before="240" w:line="276" w:lineRule="auto"/>
        <w:ind w:left="0" w:firstLine="0"/>
        <w:rPr>
          <w:sz w:val="28"/>
          <w:szCs w:val="28"/>
        </w:rPr>
      </w:pPr>
      <w:r w:rsidDel="00000000" w:rsidR="00000000" w:rsidRPr="00000000">
        <w:rPr>
          <w:sz w:val="28"/>
          <w:szCs w:val="28"/>
          <w:rtl w:val="0"/>
        </w:rPr>
        <w:t xml:space="preserve">Formal Sources</w:t>
      </w:r>
    </w:p>
    <w:p w:rsidR="00000000" w:rsidDel="00000000" w:rsidP="00000000" w:rsidRDefault="00000000" w:rsidRPr="00000000" w14:paraId="00000030">
      <w:pPr>
        <w:numPr>
          <w:ilvl w:val="0"/>
          <w:numId w:val="4"/>
        </w:numPr>
        <w:spacing w:after="0" w:afterAutospacing="0" w:before="240" w:line="276" w:lineRule="auto"/>
        <w:ind w:left="720" w:hanging="360"/>
        <w:rPr>
          <w:sz w:val="28"/>
          <w:szCs w:val="28"/>
          <w:u w:val="none"/>
        </w:rPr>
      </w:pPr>
      <w:r w:rsidDel="00000000" w:rsidR="00000000" w:rsidRPr="00000000">
        <w:rPr>
          <w:sz w:val="28"/>
          <w:szCs w:val="28"/>
          <w:rtl w:val="0"/>
        </w:rPr>
        <w:t xml:space="preserve">Intelligence Tests</w:t>
      </w:r>
    </w:p>
    <w:p w:rsidR="00000000" w:rsidDel="00000000" w:rsidP="00000000" w:rsidRDefault="00000000" w:rsidRPr="00000000" w14:paraId="00000031">
      <w:pPr>
        <w:numPr>
          <w:ilvl w:val="0"/>
          <w:numId w:val="4"/>
        </w:numPr>
        <w:spacing w:after="0" w:afterAutospacing="0" w:before="0" w:beforeAutospacing="0" w:line="276" w:lineRule="auto"/>
        <w:ind w:left="720" w:hanging="360"/>
        <w:rPr>
          <w:sz w:val="28"/>
          <w:szCs w:val="28"/>
          <w:u w:val="none"/>
        </w:rPr>
      </w:pPr>
      <w:r w:rsidDel="00000000" w:rsidR="00000000" w:rsidRPr="00000000">
        <w:rPr>
          <w:sz w:val="28"/>
          <w:szCs w:val="28"/>
          <w:rtl w:val="0"/>
        </w:rPr>
        <w:t xml:space="preserve">Achievement Tests</w:t>
      </w:r>
    </w:p>
    <w:p w:rsidR="00000000" w:rsidDel="00000000" w:rsidP="00000000" w:rsidRDefault="00000000" w:rsidRPr="00000000" w14:paraId="00000032">
      <w:pPr>
        <w:numPr>
          <w:ilvl w:val="0"/>
          <w:numId w:val="4"/>
        </w:numPr>
        <w:spacing w:after="0" w:afterAutospacing="0" w:before="0" w:beforeAutospacing="0" w:line="276" w:lineRule="auto"/>
        <w:ind w:left="720" w:hanging="360"/>
        <w:rPr>
          <w:sz w:val="28"/>
          <w:szCs w:val="28"/>
          <w:u w:val="none"/>
        </w:rPr>
      </w:pPr>
      <w:r w:rsidDel="00000000" w:rsidR="00000000" w:rsidRPr="00000000">
        <w:rPr>
          <w:sz w:val="28"/>
          <w:szCs w:val="28"/>
          <w:rtl w:val="0"/>
        </w:rPr>
        <w:t xml:space="preserve">Adaptive Behavior and Independent Living Tests</w:t>
      </w:r>
    </w:p>
    <w:p w:rsidR="00000000" w:rsidDel="00000000" w:rsidP="00000000" w:rsidRDefault="00000000" w:rsidRPr="00000000" w14:paraId="00000033">
      <w:pPr>
        <w:numPr>
          <w:ilvl w:val="0"/>
          <w:numId w:val="4"/>
        </w:numPr>
        <w:spacing w:after="240" w:before="0" w:beforeAutospacing="0" w:line="276" w:lineRule="auto"/>
        <w:ind w:left="720" w:hanging="360"/>
        <w:rPr>
          <w:sz w:val="28"/>
          <w:szCs w:val="28"/>
          <w:u w:val="none"/>
        </w:rPr>
      </w:pPr>
      <w:r w:rsidDel="00000000" w:rsidR="00000000" w:rsidRPr="00000000">
        <w:rPr>
          <w:sz w:val="28"/>
          <w:szCs w:val="28"/>
          <w:rtl w:val="0"/>
        </w:rPr>
        <w:t xml:space="preserve">Aptitude Tests</w:t>
      </w:r>
    </w:p>
    <w:p w:rsidR="00000000" w:rsidDel="00000000" w:rsidP="00000000" w:rsidRDefault="00000000" w:rsidRPr="00000000" w14:paraId="00000034">
      <w:pPr>
        <w:spacing w:after="240" w:before="240" w:line="276" w:lineRule="auto"/>
        <w:ind w:left="0" w:firstLine="0"/>
        <w:rPr>
          <w:sz w:val="28"/>
          <w:szCs w:val="28"/>
        </w:rPr>
      </w:pPr>
      <w:r w:rsidDel="00000000" w:rsidR="00000000" w:rsidRPr="00000000">
        <w:rPr>
          <w:sz w:val="28"/>
          <w:szCs w:val="28"/>
          <w:rtl w:val="0"/>
        </w:rPr>
        <w:t xml:space="preserve">Examples: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sz w:val="28"/>
          <w:szCs w:val="28"/>
        </w:rPr>
      </w:pPr>
      <w:r w:rsidDel="00000000" w:rsidR="00000000" w:rsidRPr="00000000">
        <w:rPr>
          <w:sz w:val="28"/>
          <w:szCs w:val="28"/>
          <w:rtl w:val="0"/>
        </w:rPr>
        <w:t xml:space="preserve">Woodcock-Johnson-Cognitive Ability and Achievement</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Vineland</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8"/>
          <w:szCs w:val="28"/>
        </w:rPr>
      </w:pPr>
      <w:r w:rsidDel="00000000" w:rsidR="00000000" w:rsidRPr="00000000">
        <w:rPr>
          <w:sz w:val="28"/>
          <w:szCs w:val="28"/>
          <w:rtl w:val="0"/>
        </w:rPr>
        <w:t xml:space="preserve">O*Net Ability Profiler</w:t>
      </w:r>
    </w:p>
    <w:p w:rsidR="00000000" w:rsidDel="00000000" w:rsidP="00000000" w:rsidRDefault="00000000" w:rsidRPr="00000000" w14:paraId="00000038">
      <w:pPr>
        <w:spacing w:after="240" w:before="240" w:line="276" w:lineRule="auto"/>
        <w:rPr>
          <w:sz w:val="28"/>
          <w:szCs w:val="28"/>
        </w:rPr>
      </w:pPr>
      <w:r w:rsidDel="00000000" w:rsidR="00000000" w:rsidRPr="00000000">
        <w:rPr>
          <w:sz w:val="28"/>
          <w:szCs w:val="28"/>
          <w:rtl w:val="0"/>
        </w:rPr>
        <w:t xml:space="preserve">Informal Sources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rPr>
          <w:sz w:val="28"/>
          <w:szCs w:val="28"/>
        </w:rPr>
      </w:pPr>
      <w:r w:rsidDel="00000000" w:rsidR="00000000" w:rsidRPr="00000000">
        <w:rPr>
          <w:sz w:val="28"/>
          <w:szCs w:val="28"/>
          <w:rtl w:val="0"/>
        </w:rPr>
        <w:t xml:space="preserve">Interviews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Questionnaires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Direct Observation</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Environmental or Situational Analysis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Curriculum-Based Assessments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Transition Planning Inventories</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Self Determination Scales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Independent Living Inventory</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sz w:val="28"/>
          <w:szCs w:val="28"/>
        </w:rPr>
      </w:pPr>
      <w:r w:rsidDel="00000000" w:rsidR="00000000" w:rsidRPr="00000000">
        <w:rPr>
          <w:sz w:val="28"/>
          <w:szCs w:val="28"/>
          <w:rtl w:val="0"/>
        </w:rPr>
        <w:t xml:space="preserve">School Performance Measures</w:t>
      </w:r>
    </w:p>
    <w:p w:rsidR="00000000" w:rsidDel="00000000" w:rsidP="00000000" w:rsidRDefault="00000000" w:rsidRPr="00000000" w14:paraId="00000042">
      <w:pPr>
        <w:spacing w:after="240" w:before="240" w:line="276" w:lineRule="auto"/>
        <w:rPr>
          <w:sz w:val="28"/>
          <w:szCs w:val="28"/>
        </w:rPr>
      </w:pPr>
      <w:r w:rsidDel="00000000" w:rsidR="00000000" w:rsidRPr="00000000">
        <w:rPr>
          <w:sz w:val="28"/>
          <w:szCs w:val="28"/>
          <w:rtl w:val="0"/>
        </w:rPr>
        <w:t xml:space="preserve">Examples</w:t>
      </w:r>
    </w:p>
    <w:p w:rsidR="00000000" w:rsidDel="00000000" w:rsidP="00000000" w:rsidRDefault="00000000" w:rsidRPr="00000000" w14:paraId="00000043">
      <w:pPr>
        <w:numPr>
          <w:ilvl w:val="0"/>
          <w:numId w:val="1"/>
        </w:numPr>
        <w:spacing w:after="0" w:afterAutospacing="0" w:before="240" w:line="276" w:lineRule="auto"/>
        <w:ind w:left="720" w:hanging="360"/>
        <w:rPr>
          <w:sz w:val="28"/>
          <w:szCs w:val="28"/>
          <w:u w:val="none"/>
        </w:rPr>
      </w:pPr>
      <w:r w:rsidDel="00000000" w:rsidR="00000000" w:rsidRPr="00000000">
        <w:rPr>
          <w:sz w:val="28"/>
          <w:szCs w:val="28"/>
          <w:rtl w:val="0"/>
        </w:rPr>
        <w:t xml:space="preserve">Student Portfolios</w:t>
      </w:r>
    </w:p>
    <w:p w:rsidR="00000000" w:rsidDel="00000000" w:rsidP="00000000" w:rsidRDefault="00000000" w:rsidRPr="00000000" w14:paraId="00000044">
      <w:pPr>
        <w:numPr>
          <w:ilvl w:val="0"/>
          <w:numId w:val="1"/>
        </w:numPr>
        <w:spacing w:after="0" w:afterAutospacing="0" w:before="0" w:beforeAutospacing="0" w:line="276" w:lineRule="auto"/>
        <w:ind w:left="720" w:hanging="360"/>
        <w:rPr>
          <w:sz w:val="28"/>
          <w:szCs w:val="28"/>
          <w:u w:val="none"/>
        </w:rPr>
      </w:pPr>
      <w:r w:rsidDel="00000000" w:rsidR="00000000" w:rsidRPr="00000000">
        <w:rPr>
          <w:sz w:val="28"/>
          <w:szCs w:val="28"/>
          <w:rtl w:val="0"/>
        </w:rPr>
        <w:t xml:space="preserve">Attendance</w:t>
      </w:r>
    </w:p>
    <w:p w:rsidR="00000000" w:rsidDel="00000000" w:rsidP="00000000" w:rsidRDefault="00000000" w:rsidRPr="00000000" w14:paraId="00000045">
      <w:pPr>
        <w:numPr>
          <w:ilvl w:val="0"/>
          <w:numId w:val="1"/>
        </w:numPr>
        <w:spacing w:after="0" w:afterAutospacing="0" w:before="0" w:beforeAutospacing="0" w:line="276" w:lineRule="auto"/>
        <w:ind w:left="720" w:hanging="360"/>
        <w:rPr>
          <w:sz w:val="28"/>
          <w:szCs w:val="28"/>
          <w:u w:val="none"/>
        </w:rPr>
      </w:pPr>
      <w:hyperlink r:id="rId11">
        <w:r w:rsidDel="00000000" w:rsidR="00000000" w:rsidRPr="00000000">
          <w:rPr>
            <w:color w:val="1155cc"/>
            <w:sz w:val="28"/>
            <w:szCs w:val="28"/>
            <w:u w:val="single"/>
            <w:rtl w:val="0"/>
          </w:rPr>
          <w:t xml:space="preserve">TSBVI’s Evals</w:t>
        </w:r>
      </w:hyperlink>
      <w:r w:rsidDel="00000000" w:rsidR="00000000" w:rsidRPr="00000000">
        <w:rPr>
          <w:rtl w:val="0"/>
        </w:rPr>
      </w:r>
    </w:p>
    <w:p w:rsidR="00000000" w:rsidDel="00000000" w:rsidP="00000000" w:rsidRDefault="00000000" w:rsidRPr="00000000" w14:paraId="00000046">
      <w:pPr>
        <w:numPr>
          <w:ilvl w:val="0"/>
          <w:numId w:val="1"/>
        </w:numPr>
        <w:spacing w:after="0" w:afterAutospacing="0" w:before="0" w:beforeAutospacing="0" w:line="276" w:lineRule="auto"/>
        <w:ind w:left="720" w:hanging="360"/>
        <w:rPr>
          <w:sz w:val="28"/>
          <w:szCs w:val="28"/>
          <w:u w:val="none"/>
        </w:rPr>
      </w:pPr>
      <w:hyperlink r:id="rId12">
        <w:r w:rsidDel="00000000" w:rsidR="00000000" w:rsidRPr="00000000">
          <w:rPr>
            <w:color w:val="1155cc"/>
            <w:sz w:val="28"/>
            <w:szCs w:val="28"/>
            <w:u w:val="single"/>
            <w:rtl w:val="0"/>
          </w:rPr>
          <w:t xml:space="preserve">Perkins Total Lifelong Learning</w:t>
        </w:r>
      </w:hyperlink>
      <w:r w:rsidDel="00000000" w:rsidR="00000000" w:rsidRPr="00000000">
        <w:rPr>
          <w:rtl w:val="0"/>
        </w:rPr>
      </w:r>
    </w:p>
    <w:p w:rsidR="00000000" w:rsidDel="00000000" w:rsidP="00000000" w:rsidRDefault="00000000" w:rsidRPr="00000000" w14:paraId="00000047">
      <w:pPr>
        <w:numPr>
          <w:ilvl w:val="0"/>
          <w:numId w:val="1"/>
        </w:numPr>
        <w:spacing w:after="0" w:afterAutospacing="0" w:before="0" w:beforeAutospacing="0" w:line="276" w:lineRule="auto"/>
        <w:ind w:left="720" w:hanging="360"/>
        <w:rPr>
          <w:sz w:val="28"/>
          <w:szCs w:val="28"/>
          <w:u w:val="none"/>
        </w:rPr>
      </w:pPr>
      <w:r w:rsidDel="00000000" w:rsidR="00000000" w:rsidRPr="00000000">
        <w:rPr>
          <w:sz w:val="28"/>
          <w:szCs w:val="28"/>
          <w:rtl w:val="0"/>
        </w:rPr>
        <w:t xml:space="preserve">The ARC’s Self Determination Scale</w:t>
      </w:r>
    </w:p>
    <w:p w:rsidR="00000000" w:rsidDel="00000000" w:rsidP="00000000" w:rsidRDefault="00000000" w:rsidRPr="00000000" w14:paraId="00000048">
      <w:pPr>
        <w:numPr>
          <w:ilvl w:val="0"/>
          <w:numId w:val="1"/>
        </w:numPr>
        <w:spacing w:after="240" w:before="0" w:beforeAutospacing="0" w:line="276" w:lineRule="auto"/>
        <w:ind w:left="720" w:hanging="360"/>
        <w:rPr>
          <w:sz w:val="28"/>
          <w:szCs w:val="28"/>
          <w:u w:val="none"/>
        </w:rPr>
      </w:pPr>
      <w:r w:rsidDel="00000000" w:rsidR="00000000" w:rsidRPr="00000000">
        <w:rPr>
          <w:sz w:val="28"/>
          <w:szCs w:val="28"/>
          <w:rtl w:val="0"/>
        </w:rPr>
        <w:t xml:space="preserve">TSBVI’s Discovery Document</w:t>
      </w:r>
      <w:r w:rsidDel="00000000" w:rsidR="00000000" w:rsidRPr="00000000">
        <w:rPr>
          <w:rtl w:val="0"/>
        </w:rPr>
      </w:r>
    </w:p>
    <w:p w:rsidR="00000000" w:rsidDel="00000000" w:rsidP="00000000" w:rsidRDefault="00000000" w:rsidRPr="00000000" w14:paraId="00000049">
      <w:pPr>
        <w:pStyle w:val="Heading1"/>
        <w:spacing w:line="276" w:lineRule="auto"/>
        <w:rPr>
          <w:b w:val="1"/>
          <w:bCs w:val="1"/>
        </w:rPr>
      </w:pPr>
      <w:bookmarkStart w:colFirst="0" w:colLast="0" w:name="_bqc0z84y6ous" w:id="8"/>
      <w:bookmarkEnd w:id="8"/>
      <w:r w:rsidDel="00000000" w:rsidR="00000000" w:rsidRPr="00000000">
        <w:rPr>
          <w:b w:val="1"/>
          <w:bCs w:val="1"/>
          <w:rtl w:val="0"/>
        </w:rPr>
        <w:t xml:space="preserve">What is the VI Professional’s role?</w:t>
      </w:r>
    </w:p>
    <w:p w:rsidR="00000000" w:rsidDel="00000000" w:rsidP="00000000" w:rsidRDefault="00000000" w:rsidRPr="00000000" w14:paraId="0000004A">
      <w:pPr>
        <w:numPr>
          <w:ilvl w:val="0"/>
          <w:numId w:val="6"/>
        </w:numPr>
        <w:ind w:left="720" w:hanging="360"/>
        <w:rPr>
          <w:sz w:val="28"/>
          <w:szCs w:val="28"/>
        </w:rPr>
      </w:pPr>
      <w:r w:rsidDel="00000000" w:rsidR="00000000" w:rsidRPr="00000000">
        <w:rPr>
          <w:sz w:val="28"/>
          <w:szCs w:val="28"/>
          <w:rtl w:val="0"/>
        </w:rPr>
        <w:t xml:space="preserve">Coordinate instruction in the ECC</w:t>
      </w:r>
    </w:p>
    <w:p w:rsidR="00000000" w:rsidDel="00000000" w:rsidP="00000000" w:rsidRDefault="00000000" w:rsidRPr="00000000" w14:paraId="0000004B">
      <w:pPr>
        <w:numPr>
          <w:ilvl w:val="0"/>
          <w:numId w:val="6"/>
        </w:numPr>
        <w:ind w:left="720" w:hanging="360"/>
        <w:rPr>
          <w:sz w:val="28"/>
          <w:szCs w:val="28"/>
        </w:rPr>
      </w:pPr>
      <w:r w:rsidDel="00000000" w:rsidR="00000000" w:rsidRPr="00000000">
        <w:rPr>
          <w:sz w:val="28"/>
          <w:szCs w:val="28"/>
          <w:rtl w:val="0"/>
        </w:rPr>
        <w:t xml:space="preserve">Advise team about special issues of concern: guide dog school, transportation, Medicaid Waivers, etc.</w:t>
      </w:r>
    </w:p>
    <w:p w:rsidR="00000000" w:rsidDel="00000000" w:rsidP="00000000" w:rsidRDefault="00000000" w:rsidRPr="00000000" w14:paraId="0000004C">
      <w:pPr>
        <w:numPr>
          <w:ilvl w:val="0"/>
          <w:numId w:val="6"/>
        </w:numPr>
        <w:ind w:left="720" w:hanging="360"/>
        <w:rPr>
          <w:sz w:val="28"/>
          <w:szCs w:val="28"/>
        </w:rPr>
      </w:pPr>
      <w:r w:rsidDel="00000000" w:rsidR="00000000" w:rsidRPr="00000000">
        <w:rPr>
          <w:sz w:val="28"/>
          <w:szCs w:val="28"/>
          <w:rtl w:val="0"/>
        </w:rPr>
        <w:t xml:space="preserve">Knowledge of vision-related community services</w:t>
      </w:r>
    </w:p>
    <w:p w:rsidR="00000000" w:rsidDel="00000000" w:rsidP="00000000" w:rsidRDefault="00000000" w:rsidRPr="00000000" w14:paraId="0000004D">
      <w:pPr>
        <w:numPr>
          <w:ilvl w:val="0"/>
          <w:numId w:val="6"/>
        </w:numPr>
        <w:ind w:left="720" w:hanging="360"/>
        <w:rPr>
          <w:sz w:val="28"/>
          <w:szCs w:val="28"/>
        </w:rPr>
      </w:pPr>
      <w:r w:rsidDel="00000000" w:rsidR="00000000" w:rsidRPr="00000000">
        <w:rPr>
          <w:sz w:val="28"/>
          <w:szCs w:val="28"/>
          <w:rtl w:val="0"/>
        </w:rPr>
        <w:t xml:space="preserve">Connection to adults who can be mentors</w:t>
      </w:r>
      <w:r w:rsidDel="00000000" w:rsidR="00000000" w:rsidRPr="00000000">
        <w:rPr>
          <w:rtl w:val="0"/>
        </w:rPr>
      </w:r>
    </w:p>
    <w:p w:rsidR="00000000" w:rsidDel="00000000" w:rsidP="00000000" w:rsidRDefault="00000000" w:rsidRPr="00000000" w14:paraId="0000004E">
      <w:pPr>
        <w:pStyle w:val="Heading1"/>
        <w:spacing w:line="276" w:lineRule="auto"/>
        <w:rPr>
          <w:b w:val="1"/>
          <w:bCs w:val="1"/>
        </w:rPr>
      </w:pPr>
      <w:bookmarkStart w:colFirst="0" w:colLast="0" w:name="_5ekhnabxhlyp" w:id="9"/>
      <w:bookmarkEnd w:id="9"/>
      <w:r w:rsidDel="00000000" w:rsidR="00000000" w:rsidRPr="00000000">
        <w:rPr>
          <w:rtl w:val="0"/>
        </w:rPr>
      </w:r>
    </w:p>
    <w:p w:rsidR="00000000" w:rsidDel="00000000" w:rsidP="00000000" w:rsidRDefault="00000000" w:rsidRPr="00000000" w14:paraId="0000004F">
      <w:pPr>
        <w:pStyle w:val="Heading1"/>
        <w:spacing w:line="276" w:lineRule="auto"/>
        <w:rPr>
          <w:b w:val="1"/>
          <w:bCs w:val="1"/>
        </w:rPr>
      </w:pPr>
      <w:bookmarkStart w:colFirst="0" w:colLast="0" w:name="_xplm2adm4e90" w:id="10"/>
      <w:bookmarkEnd w:id="10"/>
      <w:r w:rsidDel="00000000" w:rsidR="00000000" w:rsidRPr="00000000">
        <w:rPr>
          <w:b w:val="1"/>
          <w:bCs w:val="1"/>
          <w:rtl w:val="0"/>
        </w:rPr>
        <w:t xml:space="preserve">Resources</w:t>
      </w:r>
    </w:p>
    <w:p w:rsidR="00000000" w:rsidDel="00000000" w:rsidP="00000000" w:rsidRDefault="00000000" w:rsidRPr="00000000" w14:paraId="00000050">
      <w:pPr>
        <w:numPr>
          <w:ilvl w:val="0"/>
          <w:numId w:val="3"/>
        </w:numPr>
        <w:ind w:left="720" w:hanging="360"/>
        <w:rPr>
          <w:sz w:val="28"/>
          <w:szCs w:val="28"/>
          <w:u w:val="none"/>
        </w:rPr>
      </w:pPr>
      <w:hyperlink r:id="rId13">
        <w:r w:rsidDel="00000000" w:rsidR="00000000" w:rsidRPr="00000000">
          <w:rPr>
            <w:color w:val="1155cc"/>
            <w:sz w:val="28"/>
            <w:szCs w:val="28"/>
            <w:u w:val="single"/>
            <w:rtl w:val="0"/>
          </w:rPr>
          <w:t xml:space="preserve">Discovery Document</w:t>
        </w:r>
      </w:hyperlink>
      <w:r w:rsidDel="00000000" w:rsidR="00000000" w:rsidRPr="00000000">
        <w:rPr>
          <w:sz w:val="28"/>
          <w:szCs w:val="28"/>
          <w:rtl w:val="0"/>
        </w:rPr>
        <w:t xml:space="preserve"> - Informal Resource created by TSBVI, appropriate for all students</w:t>
      </w:r>
    </w:p>
    <w:p w:rsidR="00000000" w:rsidDel="00000000" w:rsidP="00000000" w:rsidRDefault="00000000" w:rsidRPr="00000000" w14:paraId="00000051">
      <w:pPr>
        <w:numPr>
          <w:ilvl w:val="0"/>
          <w:numId w:val="3"/>
        </w:numPr>
        <w:ind w:left="720" w:hanging="360"/>
        <w:rPr>
          <w:sz w:val="28"/>
          <w:szCs w:val="28"/>
          <w:u w:val="none"/>
        </w:rPr>
      </w:pPr>
      <w:hyperlink r:id="rId14">
        <w:r w:rsidDel="00000000" w:rsidR="00000000" w:rsidRPr="00000000">
          <w:rPr>
            <w:color w:val="1155cc"/>
            <w:sz w:val="28"/>
            <w:szCs w:val="28"/>
            <w:u w:val="single"/>
            <w:rtl w:val="0"/>
          </w:rPr>
          <w:t xml:space="preserve">Sample Visual Transition Plan</w:t>
        </w:r>
      </w:hyperlink>
      <w:r w:rsidDel="00000000" w:rsidR="00000000" w:rsidRPr="00000000">
        <w:rPr>
          <w:sz w:val="28"/>
          <w:szCs w:val="28"/>
          <w:rtl w:val="0"/>
        </w:rPr>
        <w:t xml:space="preserve"> </w:t>
      </w:r>
    </w:p>
    <w:p w:rsidR="00000000" w:rsidDel="00000000" w:rsidP="00000000" w:rsidRDefault="00000000" w:rsidRPr="00000000" w14:paraId="00000052">
      <w:pPr>
        <w:numPr>
          <w:ilvl w:val="0"/>
          <w:numId w:val="3"/>
        </w:numPr>
        <w:ind w:left="720" w:hanging="360"/>
        <w:rPr>
          <w:sz w:val="28"/>
          <w:szCs w:val="28"/>
          <w:u w:val="none"/>
        </w:rPr>
      </w:pPr>
      <w:hyperlink r:id="rId15">
        <w:r w:rsidDel="00000000" w:rsidR="00000000" w:rsidRPr="00000000">
          <w:rPr>
            <w:color w:val="1155cc"/>
            <w:sz w:val="28"/>
            <w:szCs w:val="28"/>
            <w:u w:val="single"/>
            <w:rtl w:val="0"/>
          </w:rPr>
          <w:t xml:space="preserve">Visual Transition Plan Template</w:t>
        </w:r>
      </w:hyperlink>
      <w:r w:rsidDel="00000000" w:rsidR="00000000" w:rsidRPr="00000000">
        <w:rPr>
          <w:sz w:val="28"/>
          <w:szCs w:val="28"/>
          <w:rtl w:val="0"/>
        </w:rPr>
        <w:t xml:space="preserve"> - this is one tool a team can use to create a Transition Plan. It can be archived into your special education student data system as a standalone Transition Plan, or the data from this plan can be entered into the system’s existing forms. </w:t>
      </w:r>
      <w:r w:rsidDel="00000000" w:rsidR="00000000" w:rsidRPr="00000000">
        <w:rPr>
          <w:rtl w:val="0"/>
        </w:rPr>
      </w:r>
    </w:p>
    <w:p w:rsidR="00000000" w:rsidDel="00000000" w:rsidP="00000000" w:rsidRDefault="00000000" w:rsidRPr="00000000" w14:paraId="00000053">
      <w:pPr>
        <w:pStyle w:val="Heading1"/>
        <w:keepNext w:val="0"/>
        <w:keepLines w:val="0"/>
        <w:numPr>
          <w:ilvl w:val="0"/>
          <w:numId w:val="3"/>
        </w:numPr>
        <w:ind w:left="720" w:hanging="360"/>
        <w:rPr>
          <w:u w:val="none"/>
        </w:rPr>
      </w:pPr>
      <w:bookmarkStart w:colFirst="0" w:colLast="0" w:name="_kg6dkk5lax3u" w:id="11"/>
      <w:bookmarkEnd w:id="11"/>
      <w:hyperlink r:id="rId16">
        <w:r w:rsidDel="00000000" w:rsidR="00000000" w:rsidRPr="00000000">
          <w:rPr>
            <w:color w:val="1155cc"/>
            <w:u w:val="single"/>
            <w:rtl w:val="0"/>
          </w:rPr>
          <w:t xml:space="preserve">TSBVI Outreach Transition LiveBinder</w:t>
        </w:r>
      </w:hyperlink>
      <w:r w:rsidDel="00000000" w:rsidR="00000000" w:rsidRPr="00000000">
        <w:rPr>
          <w:rtl w:val="0"/>
        </w:rPr>
        <w:t xml:space="preserve"> - includes, among other resources, roles and responsibilities for VI professionals, success stories, and links to state agencies.</w:t>
      </w:r>
    </w:p>
    <w:p w:rsidR="00000000" w:rsidDel="00000000" w:rsidP="00000000" w:rsidRDefault="00000000" w:rsidRPr="00000000" w14:paraId="00000054">
      <w:pPr>
        <w:numPr>
          <w:ilvl w:val="0"/>
          <w:numId w:val="3"/>
        </w:numPr>
        <w:ind w:left="720" w:hanging="360"/>
        <w:rPr>
          <w:sz w:val="28"/>
          <w:szCs w:val="28"/>
        </w:rPr>
      </w:pPr>
      <w:hyperlink r:id="rId17">
        <w:r w:rsidDel="00000000" w:rsidR="00000000" w:rsidRPr="00000000">
          <w:rPr>
            <w:color w:val="1155cc"/>
            <w:sz w:val="28"/>
            <w:szCs w:val="28"/>
            <w:u w:val="single"/>
            <w:rtl w:val="0"/>
          </w:rPr>
          <w:t xml:space="preserve">Pathways Texas Transition and Employment Guide</w:t>
        </w:r>
      </w:hyperlink>
      <w:r w:rsidDel="00000000" w:rsidR="00000000" w:rsidRPr="00000000">
        <w:rPr>
          <w:rtl w:val="0"/>
        </w:rPr>
      </w:r>
    </w:p>
    <w:p w:rsidR="00000000" w:rsidDel="00000000" w:rsidP="00000000" w:rsidRDefault="00000000" w:rsidRPr="00000000" w14:paraId="00000055">
      <w:pPr>
        <w:numPr>
          <w:ilvl w:val="0"/>
          <w:numId w:val="3"/>
        </w:numPr>
        <w:ind w:left="720" w:hanging="360"/>
        <w:rPr>
          <w:sz w:val="28"/>
          <w:szCs w:val="28"/>
          <w:u w:val="none"/>
        </w:rPr>
      </w:pPr>
      <w:hyperlink r:id="rId18">
        <w:r w:rsidDel="00000000" w:rsidR="00000000" w:rsidRPr="00000000">
          <w:rPr>
            <w:color w:val="1155cc"/>
            <w:sz w:val="28"/>
            <w:szCs w:val="28"/>
            <w:u w:val="single"/>
            <w:rtl w:val="0"/>
          </w:rPr>
          <w:t xml:space="preserve">California School for the Blind Assessment Center</w:t>
        </w:r>
      </w:hyperlink>
      <w:r w:rsidDel="00000000" w:rsidR="00000000" w:rsidRPr="00000000">
        <w:rPr>
          <w:sz w:val="28"/>
          <w:szCs w:val="28"/>
          <w:rtl w:val="0"/>
        </w:rPr>
        <w:t xml:space="preserve"> - This site includes articles about how to test students who are blind, deafblind, or have low vision, and tests are organized by category and age. </w:t>
      </w:r>
    </w:p>
    <w:p w:rsidR="00000000" w:rsidDel="00000000" w:rsidP="00000000" w:rsidRDefault="00000000" w:rsidRPr="00000000" w14:paraId="00000056">
      <w:pPr>
        <w:numPr>
          <w:ilvl w:val="0"/>
          <w:numId w:val="3"/>
        </w:numPr>
        <w:ind w:left="720" w:hanging="360"/>
        <w:rPr>
          <w:sz w:val="28"/>
          <w:szCs w:val="28"/>
          <w:u w:val="none"/>
        </w:rPr>
      </w:pPr>
      <w:hyperlink r:id="rId19">
        <w:r w:rsidDel="00000000" w:rsidR="00000000" w:rsidRPr="00000000">
          <w:rPr>
            <w:color w:val="1155cc"/>
            <w:sz w:val="28"/>
            <w:szCs w:val="28"/>
            <w:u w:val="single"/>
            <w:rtl w:val="0"/>
          </w:rPr>
          <w:t xml:space="preserve">Perkins Assessments</w:t>
        </w:r>
      </w:hyperlink>
      <w:r w:rsidDel="00000000" w:rsidR="00000000" w:rsidRPr="00000000">
        <w:rPr>
          <w:sz w:val="28"/>
          <w:szCs w:val="28"/>
          <w:rtl w:val="0"/>
        </w:rPr>
        <w:t xml:space="preserve"> - Readers will find a list of vocational assessments for students at this site.</w:t>
      </w:r>
    </w:p>
    <w:p w:rsidR="00000000" w:rsidDel="00000000" w:rsidP="00000000" w:rsidRDefault="00000000" w:rsidRPr="00000000" w14:paraId="00000057">
      <w:pPr>
        <w:numPr>
          <w:ilvl w:val="0"/>
          <w:numId w:val="3"/>
        </w:numPr>
        <w:ind w:left="720" w:hanging="360"/>
        <w:rPr>
          <w:sz w:val="28"/>
          <w:szCs w:val="28"/>
          <w:u w:val="none"/>
        </w:rPr>
      </w:pPr>
      <w:hyperlink r:id="rId20">
        <w:r w:rsidDel="00000000" w:rsidR="00000000" w:rsidRPr="00000000">
          <w:rPr>
            <w:color w:val="1155cc"/>
            <w:sz w:val="28"/>
            <w:szCs w:val="28"/>
            <w:u w:val="single"/>
            <w:rtl w:val="0"/>
          </w:rPr>
          <w:t xml:space="preserve">National Technical Assistance Center </w:t>
        </w:r>
      </w:hyperlink>
      <w:r w:rsidDel="00000000" w:rsidR="00000000" w:rsidRPr="00000000">
        <w:rPr>
          <w:sz w:val="28"/>
          <w:szCs w:val="28"/>
          <w:rtl w:val="0"/>
        </w:rPr>
        <w:t xml:space="preserve">Collaborative Assessment Guide for Transition Planning Services - Technical assistance toolkit for educators, families, and students.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spacing w:before="240" w:line="276" w:lineRule="auto"/>
        <w:rPr>
          <w:sz w:val="28"/>
          <w:szCs w:val="28"/>
        </w:rPr>
      </w:pPr>
      <w:r w:rsidDel="00000000" w:rsidR="00000000" w:rsidRPr="00000000">
        <w:rPr>
          <w:sz w:val="28"/>
          <w:szCs w:val="28"/>
          <w:rtl w:val="0"/>
        </w:rPr>
        <w:t xml:space="preserve">Outreach can provide training through workshops for families and students, as well as on-site consultations.</w:t>
      </w:r>
    </w:p>
    <w:p w:rsidR="00000000" w:rsidDel="00000000" w:rsidP="00000000" w:rsidRDefault="00000000" w:rsidRPr="00000000" w14:paraId="0000005A">
      <w:pPr>
        <w:numPr>
          <w:ilvl w:val="0"/>
          <w:numId w:val="5"/>
        </w:numPr>
        <w:spacing w:after="0" w:afterAutospacing="0" w:before="240" w:line="276" w:lineRule="auto"/>
        <w:ind w:left="720" w:hanging="360"/>
        <w:rPr>
          <w:sz w:val="28"/>
          <w:szCs w:val="28"/>
          <w:u w:val="none"/>
        </w:rPr>
      </w:pPr>
      <w:hyperlink r:id="rId21">
        <w:r w:rsidDel="00000000" w:rsidR="00000000" w:rsidRPr="00000000">
          <w:rPr>
            <w:color w:val="1155cc"/>
            <w:sz w:val="28"/>
            <w:szCs w:val="28"/>
            <w:u w:val="single"/>
            <w:rtl w:val="0"/>
          </w:rPr>
          <w:t xml:space="preserve">Game of Life</w:t>
        </w:r>
      </w:hyperlink>
      <w:r w:rsidDel="00000000" w:rsidR="00000000" w:rsidRPr="00000000">
        <w:rPr>
          <w:sz w:val="28"/>
          <w:szCs w:val="28"/>
          <w:rtl w:val="0"/>
        </w:rPr>
        <w:t xml:space="preserve"> - for families and students who are middle school age</w:t>
      </w:r>
      <w:r w:rsidDel="00000000" w:rsidR="00000000" w:rsidRPr="00000000">
        <w:rPr>
          <w:rtl w:val="0"/>
        </w:rPr>
      </w:r>
    </w:p>
    <w:p w:rsidR="00000000" w:rsidDel="00000000" w:rsidP="00000000" w:rsidRDefault="00000000" w:rsidRPr="00000000" w14:paraId="0000005B">
      <w:pPr>
        <w:numPr>
          <w:ilvl w:val="0"/>
          <w:numId w:val="5"/>
        </w:numPr>
        <w:spacing w:after="0" w:afterAutospacing="0" w:before="0" w:beforeAutospacing="0" w:line="276" w:lineRule="auto"/>
        <w:ind w:left="720" w:hanging="360"/>
        <w:rPr>
          <w:sz w:val="28"/>
          <w:szCs w:val="28"/>
          <w:u w:val="none"/>
        </w:rPr>
      </w:pPr>
      <w:hyperlink r:id="rId22">
        <w:r w:rsidDel="00000000" w:rsidR="00000000" w:rsidRPr="00000000">
          <w:rPr>
            <w:color w:val="1155cc"/>
            <w:sz w:val="28"/>
            <w:szCs w:val="28"/>
            <w:u w:val="single"/>
            <w:rtl w:val="0"/>
          </w:rPr>
          <w:t xml:space="preserve">High School Independence: College and Vocational Prep</w:t>
        </w:r>
      </w:hyperlink>
      <w:r w:rsidDel="00000000" w:rsidR="00000000" w:rsidRPr="00000000">
        <w:rPr>
          <w:sz w:val="28"/>
          <w:szCs w:val="28"/>
          <w:rtl w:val="0"/>
        </w:rPr>
        <w:t xml:space="preserve"> - for families and students from high school through 22 years.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8"/>
          <w:szCs w:val="28"/>
        </w:rPr>
      </w:pPr>
      <w:r w:rsidDel="00000000" w:rsidR="00000000" w:rsidRPr="00000000">
        <w:rPr>
          <w:sz w:val="28"/>
          <w:szCs w:val="28"/>
          <w:rtl w:val="0"/>
        </w:rPr>
        <w:t xml:space="preserve">Discovering the Future - for families of students, middle school to 22 years, who need lifelong supports, and for whom a traditional college or career path isn’t appropriate. Contact Outreach Transition consultants to learn more. </w:t>
      </w:r>
    </w:p>
    <w:p w:rsidR="00000000" w:rsidDel="00000000" w:rsidP="00000000" w:rsidRDefault="00000000" w:rsidRPr="00000000" w14:paraId="0000005D">
      <w:pPr>
        <w:numPr>
          <w:ilvl w:val="0"/>
          <w:numId w:val="5"/>
        </w:numPr>
        <w:spacing w:before="0" w:beforeAutospacing="0" w:line="276" w:lineRule="auto"/>
        <w:ind w:left="720" w:hanging="360"/>
        <w:rPr>
          <w:sz w:val="28"/>
          <w:szCs w:val="28"/>
          <w:u w:val="none"/>
        </w:rPr>
      </w:pPr>
      <w:hyperlink r:id="rId23">
        <w:r w:rsidDel="00000000" w:rsidR="00000000" w:rsidRPr="00000000">
          <w:rPr>
            <w:color w:val="1155cc"/>
            <w:sz w:val="28"/>
            <w:szCs w:val="28"/>
            <w:u w:val="single"/>
            <w:rtl w:val="0"/>
          </w:rPr>
          <w:t xml:space="preserve">Contact Outreach for Support</w:t>
        </w:r>
      </w:hyperlink>
      <w:r w:rsidDel="00000000" w:rsidR="00000000" w:rsidRPr="00000000">
        <w:rPr>
          <w:rtl w:val="0"/>
        </w:rPr>
      </w:r>
    </w:p>
    <w:p w:rsidR="00000000" w:rsidDel="00000000" w:rsidP="00000000" w:rsidRDefault="00000000" w:rsidRPr="00000000" w14:paraId="0000005E">
      <w:pPr>
        <w:spacing w:before="240" w:line="276" w:lineRule="auto"/>
        <w:rPr>
          <w:b w:val="1"/>
          <w:bCs w:val="1"/>
          <w:sz w:val="28"/>
          <w:szCs w:val="28"/>
        </w:rPr>
      </w:pPr>
      <w:r w:rsidDel="00000000" w:rsidR="00000000" w:rsidRPr="00000000">
        <w:rPr>
          <w:rtl w:val="0"/>
        </w:rPr>
      </w:r>
    </w:p>
    <w:p w:rsidR="00000000" w:rsidDel="00000000" w:rsidP="00000000" w:rsidRDefault="00000000" w:rsidRPr="00000000" w14:paraId="0000005F">
      <w:pPr>
        <w:spacing w:before="240" w:line="276" w:lineRule="auto"/>
        <w:rPr>
          <w:b w:val="1"/>
          <w:bCs w:val="1"/>
          <w:sz w:val="28"/>
          <w:szCs w:val="28"/>
        </w:rPr>
      </w:pPr>
      <w:r w:rsidDel="00000000" w:rsidR="00000000" w:rsidRPr="00000000">
        <w:rPr>
          <w:b w:val="1"/>
          <w:bCs w:val="1"/>
          <w:sz w:val="28"/>
          <w:szCs w:val="28"/>
          <w:rtl w:val="0"/>
        </w:rPr>
        <w:t xml:space="preserve">Belinda Fayard, Email: </w:t>
      </w:r>
      <w:hyperlink r:id="rId24">
        <w:r w:rsidDel="00000000" w:rsidR="00000000" w:rsidRPr="00000000">
          <w:rPr>
            <w:b w:val="1"/>
            <w:bCs w:val="1"/>
            <w:color w:val="1155cc"/>
            <w:sz w:val="28"/>
            <w:szCs w:val="28"/>
            <w:u w:val="single"/>
            <w:rtl w:val="0"/>
          </w:rPr>
          <w:t xml:space="preserve">fayardb@tsbvi.edu</w:t>
        </w:r>
      </w:hyperlink>
      <w:r w:rsidDel="00000000" w:rsidR="00000000" w:rsidRPr="00000000">
        <w:rPr>
          <w:b w:val="1"/>
          <w:bCs w:val="1"/>
          <w:sz w:val="28"/>
          <w:szCs w:val="28"/>
          <w:rtl w:val="0"/>
        </w:rPr>
        <w:t xml:space="preserve">, Phone: 512-206-9278</w:t>
      </w:r>
    </w:p>
    <w:p w:rsidR="00000000" w:rsidDel="00000000" w:rsidP="00000000" w:rsidRDefault="00000000" w:rsidRPr="00000000" w14:paraId="00000060">
      <w:pPr>
        <w:spacing w:after="240" w:before="240" w:line="276" w:lineRule="auto"/>
        <w:rPr/>
      </w:pPr>
      <w:hyperlink r:id="rId25">
        <w:r w:rsidDel="00000000" w:rsidR="00000000" w:rsidRPr="00000000">
          <w:rPr>
            <w:b w:val="1"/>
            <w:bCs w:val="1"/>
            <w:color w:val="1155cc"/>
            <w:sz w:val="28"/>
            <w:szCs w:val="28"/>
            <w:highlight w:val="white"/>
            <w:u w:val="single"/>
            <w:rtl w:val="0"/>
          </w:rPr>
          <w:t xml:space="preserve">STAY UPDATED!</w:t>
        </w:r>
      </w:hyperlink>
      <w:r w:rsidDel="00000000" w:rsidR="00000000" w:rsidRPr="00000000">
        <w:rPr>
          <w:b w:val="1"/>
          <w:bCs w:val="1"/>
          <w:sz w:val="28"/>
          <w:szCs w:val="28"/>
          <w:rtl w:val="0"/>
        </w:rPr>
        <w:t xml:space="preserve"> </w:t>
      </w:r>
      <w:r w:rsidDel="00000000" w:rsidR="00000000" w:rsidRPr="00000000">
        <w:rPr>
          <w:color w:val="393939"/>
          <w:sz w:val="28"/>
          <w:szCs w:val="28"/>
          <w:highlight w:val="white"/>
          <w:rtl w:val="0"/>
        </w:rPr>
        <w:t xml:space="preserve">TSBVI programs cover a variety of topics regarding the education of students who are blind, deafblind, or have low vision. Sign up here to tell us about your own areas of interest and to receive regular updates on those specific topics.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76" w:lineRule="auto"/>
    </w:pPr>
    <w:rPr>
      <w:sz w:val="28"/>
      <w:szCs w:val="28"/>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line="240" w:lineRule="auto"/>
      <w:jc w:val="center"/>
    </w:pPr>
    <w:rPr>
      <w:b w:val="1"/>
      <w:bCs w:val="1"/>
      <w:color w:val="861714"/>
      <w:sz w:val="32"/>
      <w:szCs w:val="3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ransitionta.org/transition-assessment-guide/" TargetMode="External"/><Relationship Id="rId22" Type="http://schemas.openxmlformats.org/officeDocument/2006/relationships/hyperlink" Target="https://www.tsbvi.edu/programs/short-term/school-year/calendar-classes" TargetMode="External"/><Relationship Id="rId21" Type="http://schemas.openxmlformats.org/officeDocument/2006/relationships/hyperlink" Target="https://www.tsbvi.edu/programs/short-term/school-year/calendar-classes" TargetMode="External"/><Relationship Id="rId24" Type="http://schemas.openxmlformats.org/officeDocument/2006/relationships/hyperlink" Target="mailto:fayardb@tsbvi.edu" TargetMode="External"/><Relationship Id="rId23" Type="http://schemas.openxmlformats.org/officeDocument/2006/relationships/hyperlink" Target="https://docs.google.com/forms/d/e/1FAIpQLSct5JZjWp9wBWMTdwEVqDXAhKdhcTAAq-pcy0y45Z-UzH9ktQ/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yardb@tsbvi.edu" TargetMode="External"/><Relationship Id="rId25" Type="http://schemas.openxmlformats.org/officeDocument/2006/relationships/hyperlink" Target="https://www.tsbvi.edu/stay-updated"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www.tsbvi.edu" TargetMode="External"/><Relationship Id="rId11" Type="http://schemas.openxmlformats.org/officeDocument/2006/relationships/hyperlink" Target="https://www.tsbvi.edu/product/evals-5-part-set" TargetMode="External"/><Relationship Id="rId10" Type="http://schemas.openxmlformats.org/officeDocument/2006/relationships/hyperlink" Target="http://tsbvi.edu/outreach" TargetMode="External"/><Relationship Id="rId13" Type="http://schemas.openxmlformats.org/officeDocument/2006/relationships/hyperlink" Target="https://docs.google.com/document/d/1ytO_nuGvuTbUU_uf-S0JlvqrgF-Ef17y/edit?usp=sharing&amp;ouid=117653637793691432952&amp;rtpof=true&amp;sd=true" TargetMode="External"/><Relationship Id="rId12" Type="http://schemas.openxmlformats.org/officeDocument/2006/relationships/hyperlink" Target="https://www.amazon.com/dp/B0756R2GYV" TargetMode="External"/><Relationship Id="rId15" Type="http://schemas.openxmlformats.org/officeDocument/2006/relationships/hyperlink" Target="https://docs.google.com/presentation/d/1mXhSui2md-e04lfzTEgRZ_XfHs07yBYf/edit?usp=drive_link&amp;ouid=117653637793691432952&amp;rtpof=true&amp;sd=true" TargetMode="External"/><Relationship Id="rId14" Type="http://schemas.openxmlformats.org/officeDocument/2006/relationships/hyperlink" Target="https://docs.google.com/presentation/d/1Qz3Vpgw5Co-duIsrk7_Le0wu7Pd--y6P/edit?usp=drive_link&amp;ouid=117653637793691432952&amp;rtpof=true&amp;sd=true" TargetMode="External"/><Relationship Id="rId17" Type="http://schemas.openxmlformats.org/officeDocument/2006/relationships/hyperlink" Target="https://spedsupport.tea.texas.gov/resource-library/texas-transition-and-employment-guide" TargetMode="External"/><Relationship Id="rId16" Type="http://schemas.openxmlformats.org/officeDocument/2006/relationships/hyperlink" Target="https://www.tsbvi.edu/statewide-resources/engagement/visually-impaired-outreach/transition" TargetMode="External"/><Relationship Id="rId19" Type="http://schemas.openxmlformats.org/officeDocument/2006/relationships/hyperlink" Target="https://www.perkins.org/resource/assessments/" TargetMode="External"/><Relationship Id="rId18" Type="http://schemas.openxmlformats.org/officeDocument/2006/relationships/hyperlink" Target="https://www.csb-cde.ca.gov/outreach/assessmentcenter/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