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1F0C9" w14:textId="77777777" w:rsidR="005B658F" w:rsidRPr="0042493B" w:rsidRDefault="00DC0A34" w:rsidP="0042493B">
      <w:pPr>
        <w:pStyle w:val="LetterheadLevel1"/>
        <w:rPr>
          <w:sz w:val="40"/>
          <w:szCs w:val="40"/>
        </w:rPr>
      </w:pPr>
      <w:r>
        <w:rPr>
          <w:noProof/>
        </w:rPr>
        <w:drawing>
          <wp:anchor distT="0" distB="0" distL="114300" distR="114300" simplePos="0" relativeHeight="251658240" behindDoc="0" locked="0" layoutInCell="1" allowOverlap="1" wp14:anchorId="67761BA0" wp14:editId="390EA91C">
            <wp:simplePos x="0" y="0"/>
            <wp:positionH relativeFrom="column">
              <wp:posOffset>-140335</wp:posOffset>
            </wp:positionH>
            <wp:positionV relativeFrom="paragraph">
              <wp:posOffset>198755</wp:posOffset>
            </wp:positionV>
            <wp:extent cx="1038225" cy="914400"/>
            <wp:effectExtent l="0" t="0" r="3175" b="0"/>
            <wp:wrapSquare wrapText="bothSides"/>
            <wp:docPr id="19" name="Picture 1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BVILogoSca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005B658F" w:rsidRPr="0042493B">
        <w:rPr>
          <w:sz w:val="40"/>
          <w:szCs w:val="40"/>
        </w:rPr>
        <w:t>Texas School for the Blind and Visually Impaired</w:t>
      </w:r>
    </w:p>
    <w:p w14:paraId="146EFE61" w14:textId="77777777" w:rsidR="005B658F" w:rsidRPr="00100ACB" w:rsidRDefault="005B658F" w:rsidP="0042493B">
      <w:pPr>
        <w:pStyle w:val="LetterheadLevel2"/>
      </w:pPr>
      <w:r w:rsidRPr="00001F87">
        <w:t>Outreach Programs</w:t>
      </w:r>
    </w:p>
    <w:p w14:paraId="01217AED" w14:textId="77777777" w:rsidR="005B658F" w:rsidRPr="0042493B" w:rsidRDefault="000C019B" w:rsidP="005B658F">
      <w:pPr>
        <w:spacing w:before="120" w:after="120"/>
        <w:rPr>
          <w:sz w:val="28"/>
          <w:szCs w:val="28"/>
        </w:rPr>
      </w:pPr>
      <w:hyperlink r:id="rId8" w:history="1">
        <w:r w:rsidR="005B658F" w:rsidRPr="0042493B">
          <w:rPr>
            <w:rStyle w:val="Hyperlink"/>
            <w:sz w:val="28"/>
            <w:szCs w:val="28"/>
          </w:rPr>
          <w:t>www.tsbvi.edu</w:t>
        </w:r>
      </w:hyperlink>
      <w:r w:rsidR="005B658F" w:rsidRPr="0042493B">
        <w:rPr>
          <w:sz w:val="28"/>
          <w:szCs w:val="28"/>
        </w:rPr>
        <w:t xml:space="preserve"> </w:t>
      </w:r>
      <w:r w:rsidR="005B658F" w:rsidRPr="00963DCC">
        <w:rPr>
          <w:color w:val="861714"/>
          <w:sz w:val="28"/>
          <w:szCs w:val="28"/>
        </w:rPr>
        <w:t xml:space="preserve">| </w:t>
      </w:r>
      <w:r w:rsidR="00F75E40" w:rsidRPr="00963DCC">
        <w:rPr>
          <w:color w:val="861714"/>
          <w:sz w:val="28"/>
          <w:szCs w:val="28"/>
        </w:rPr>
        <w:t>512-454-8631</w:t>
      </w:r>
      <w:r w:rsidR="005B658F" w:rsidRPr="00963DCC">
        <w:rPr>
          <w:color w:val="861714"/>
          <w:sz w:val="28"/>
          <w:szCs w:val="28"/>
        </w:rPr>
        <w:t>| 1100 W. 45</w:t>
      </w:r>
      <w:r w:rsidR="005B658F" w:rsidRPr="00963DCC">
        <w:rPr>
          <w:color w:val="861714"/>
          <w:sz w:val="28"/>
          <w:szCs w:val="28"/>
          <w:vertAlign w:val="superscript"/>
        </w:rPr>
        <w:t>th</w:t>
      </w:r>
      <w:r w:rsidR="005B658F" w:rsidRPr="00963DCC">
        <w:rPr>
          <w:color w:val="861714"/>
          <w:sz w:val="28"/>
          <w:szCs w:val="28"/>
        </w:rPr>
        <w:t xml:space="preserve"> St. | Austin, T</w:t>
      </w:r>
      <w:r w:rsidR="00963DCC" w:rsidRPr="00963DCC">
        <w:rPr>
          <w:color w:val="861714"/>
          <w:sz w:val="28"/>
          <w:szCs w:val="28"/>
        </w:rPr>
        <w:t>X</w:t>
      </w:r>
      <w:r w:rsidR="005B658F" w:rsidRPr="00963DCC">
        <w:rPr>
          <w:color w:val="861714"/>
          <w:sz w:val="28"/>
          <w:szCs w:val="28"/>
        </w:rPr>
        <w:t xml:space="preserve"> 78756</w:t>
      </w:r>
    </w:p>
    <w:p w14:paraId="7C758599" w14:textId="77777777" w:rsidR="005B658F" w:rsidRDefault="005B658F" w:rsidP="00E52069"/>
    <w:p w14:paraId="439344EE" w14:textId="77777777" w:rsidR="005B658F" w:rsidRDefault="00DC0A34" w:rsidP="00E52069">
      <w:r>
        <w:rPr>
          <w:noProof/>
        </w:rPr>
        <mc:AlternateContent>
          <mc:Choice Requires="wps">
            <w:drawing>
              <wp:anchor distT="0" distB="0" distL="114300" distR="114300" simplePos="0" relativeHeight="251657216" behindDoc="0" locked="0" layoutInCell="1" allowOverlap="1" wp14:anchorId="027A64CD" wp14:editId="2C79C6D8">
                <wp:simplePos x="0" y="0"/>
                <wp:positionH relativeFrom="column">
                  <wp:posOffset>0</wp:posOffset>
                </wp:positionH>
                <wp:positionV relativeFrom="paragraph">
                  <wp:posOffset>26035</wp:posOffset>
                </wp:positionV>
                <wp:extent cx="6544310" cy="19050"/>
                <wp:effectExtent l="30480" t="22225" r="41910" b="349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CB3987" id="_x0000_t32" coordsize="21600,21600" o:spt="32" o:oned="t" path="m,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Z2BQIAAMsDAAAOAAAAZHJzL2Uyb0RvYy54bWysU02P2jAQvVfqf7B8hyQQWIgIq1WAXrZd&#10;pN3+AGM7xGrisWxDQFX/e8fmo9v2VvVijT0zb+bNGy8eT11LjtI6Bbqk2TClRGoOQul9Sb++bQYz&#10;SpxnWrAWtCzpWTr6uPz4YdGbQo6ggVZISxBEu6I3JW28N0WSON7IjrkhGKnRWYPtmMer3SfCsh7R&#10;uzYZpek06cEKY4FL5/B1dXHSZcSva8n9S1076UlbUuzNx9PGcxfOZLlgxd4y0yh+bYP9QxcdUxqL&#10;3qFWzDNysOovqE5xCw5qP+TQJVDXisvIAdlk6R9sXhtmZOSCw3HmPib3/2D5l+PWEiVQO0o061Ci&#10;p4OHWJk8hPH0xhUYVemtDQT5Sb+aZ+DfHNFQNUzvZQx+OxvMzUJG8ltKuDiDRXb9ZxAYwxA/zupU&#10;2y5A4hTIKUpyvksiT55wfJxO8nycoXIcfdk8nUTJElbcko11/pOEjgSjpM5bpvaNr0BrFB9sFkux&#10;47PzoTVW3BJCZQ0b1bZxB1pN+pKOZ1maxgwHrRLBG+Kc3e+q1pIjwzWaTbOHLI9E0fM+zMJBi4jW&#10;SCbWV9sz1V5srN7qgIfssJ+rddmT7/N0vp6tZ/kgH03XgzwVYvC0qfLBdJM9TFbjVVWtsh/Xqrf8&#10;OOkw3ItMOxDnrb0pgBsTCV+3O6zk+3vU6dcfXP4EAAD//wMAUEsDBBQABgAIAAAAIQARkTiT3AAA&#10;AAUBAAAPAAAAZHJzL2Rvd25yZXYueG1sTI9BSwMxFITvgv8hPMGbTbZqlXXfFi0IHkSxSqG3dPO6&#10;uzR5WZO0Xf+96UmPwwwz31Tz0VlxoBB7zwjFRIEgbrzpuUX4+ny+ugcRk2ajrWdC+KEI8/r8rNKl&#10;8Uf+oMMytSKXcCw1QpfSUEoZm46cjhM/EGdv64PTKcvQShP0MZc7K6dKzaTTPeeFTg+06KjZLfcO&#10;wXwvVn79dhtep09Wvaz5fUerLeLlxfj4ACLRmP7CcMLP6FBnpo3fs4nCIuQjCeGmAHEy1bWagdgg&#10;3BUg60r+p69/AQAA//8DAFBLAQItABQABgAIAAAAIQC2gziS/gAAAOEBAAATAAAAAAAAAAAAAAAA&#10;AAAAAABbQ29udGVudF9UeXBlc10ueG1sUEsBAi0AFAAGAAgAAAAhADj9If/WAAAAlAEAAAsAAAAA&#10;AAAAAAAAAAAALwEAAF9yZWxzLy5yZWxzUEsBAi0AFAAGAAgAAAAhAIkjZnYFAgAAywMAAA4AAAAA&#10;AAAAAAAAAAAALgIAAGRycy9lMm9Eb2MueG1sUEsBAi0AFAAGAAgAAAAhABGROJPcAAAABQEAAA8A&#10;AAAAAAAAAAAAAAAAXwQAAGRycy9kb3ducmV2LnhtbFBLBQYAAAAABAAEAPMAAABoBQAAAAA=&#10;" strokecolor="#861714" strokeweight="3pt"/>
            </w:pict>
          </mc:Fallback>
        </mc:AlternateContent>
      </w:r>
    </w:p>
    <w:p w14:paraId="03C837B4" w14:textId="77777777" w:rsidR="005B658F" w:rsidRDefault="005B658F" w:rsidP="00E52069"/>
    <w:p w14:paraId="330DB4AE" w14:textId="77777777" w:rsidR="005B658F" w:rsidRDefault="005B658F" w:rsidP="00E52069"/>
    <w:p w14:paraId="2FD94B35" w14:textId="77777777" w:rsidR="005B658F" w:rsidRDefault="001331D0" w:rsidP="005B658F">
      <w:pPr>
        <w:pStyle w:val="DocumentHeading1"/>
      </w:pPr>
      <w:r>
        <w:t xml:space="preserve">Introduction to Cortical Visual Impairment: </w:t>
      </w:r>
    </w:p>
    <w:p w14:paraId="3E26FB7B" w14:textId="77777777" w:rsidR="001331D0" w:rsidRDefault="001331D0" w:rsidP="005B658F">
      <w:pPr>
        <w:pStyle w:val="DocumentHeading1"/>
      </w:pPr>
      <w:bookmarkStart w:id="0" w:name="_GoBack"/>
      <w:r>
        <w:t>CVI Web Exercise</w:t>
      </w:r>
    </w:p>
    <w:bookmarkEnd w:id="0"/>
    <w:p w14:paraId="788A859B" w14:textId="77777777" w:rsidR="005B658F" w:rsidRDefault="005B658F" w:rsidP="00E52069"/>
    <w:p w14:paraId="75348909" w14:textId="77777777" w:rsidR="005B658F" w:rsidRDefault="005B658F" w:rsidP="00E52069"/>
    <w:p w14:paraId="7B7A16AD" w14:textId="77777777" w:rsidR="005B658F" w:rsidRDefault="005B658F" w:rsidP="00E52069"/>
    <w:p w14:paraId="15C4E728" w14:textId="77777777" w:rsidR="005B658F" w:rsidRDefault="005B658F" w:rsidP="00E52069"/>
    <w:p w14:paraId="3DE4AA32" w14:textId="77777777" w:rsidR="005B658F" w:rsidRDefault="005B658F" w:rsidP="00E52069"/>
    <w:p w14:paraId="086210A4" w14:textId="77777777" w:rsidR="005B658F" w:rsidRDefault="005B658F" w:rsidP="00EB3B62">
      <w:pPr>
        <w:pStyle w:val="DocumentHeading2"/>
      </w:pPr>
      <w:r>
        <w:t>Presented by</w:t>
      </w:r>
    </w:p>
    <w:p w14:paraId="35251A34" w14:textId="77777777" w:rsidR="005B658F" w:rsidRDefault="001331D0" w:rsidP="00EB3B62">
      <w:pPr>
        <w:pStyle w:val="DocumentHeading2"/>
      </w:pPr>
      <w:r>
        <w:t>Sara Kitchen &amp; Lynne McAlister</w:t>
      </w:r>
    </w:p>
    <w:p w14:paraId="6B6B0053" w14:textId="77777777" w:rsidR="001331D0" w:rsidRDefault="001331D0" w:rsidP="00EB3B62">
      <w:pPr>
        <w:pStyle w:val="DocumentHeading2"/>
      </w:pPr>
      <w:r>
        <w:t>kitchens@tsbvi.edu, mcalisterl@tsbvi.edu</w:t>
      </w:r>
    </w:p>
    <w:p w14:paraId="02F85C47" w14:textId="77777777" w:rsidR="005B658F" w:rsidRDefault="005B658F" w:rsidP="00EB3B62">
      <w:pPr>
        <w:pStyle w:val="DocumentHeading2"/>
      </w:pPr>
    </w:p>
    <w:p w14:paraId="0CF8C778" w14:textId="77777777" w:rsidR="00EB3B62" w:rsidRDefault="00EB3B62" w:rsidP="00EB3B62">
      <w:pPr>
        <w:pStyle w:val="DocumentHeading2"/>
      </w:pPr>
    </w:p>
    <w:p w14:paraId="3F08F880" w14:textId="77777777" w:rsidR="001331D0" w:rsidRDefault="001331D0" w:rsidP="00EB3B62">
      <w:pPr>
        <w:pStyle w:val="DocumentHeading2"/>
      </w:pPr>
    </w:p>
    <w:p w14:paraId="56320FEB" w14:textId="77777777" w:rsidR="001331D0" w:rsidRDefault="001331D0" w:rsidP="00EB3B62">
      <w:pPr>
        <w:pStyle w:val="DocumentHeading2"/>
      </w:pPr>
    </w:p>
    <w:p w14:paraId="59999B96" w14:textId="77777777" w:rsidR="005B658F" w:rsidRDefault="005B658F" w:rsidP="00EB3B62">
      <w:pPr>
        <w:pStyle w:val="DocumentHeading2"/>
      </w:pPr>
      <w:r>
        <w:t>Developed for</w:t>
      </w:r>
    </w:p>
    <w:p w14:paraId="74F2B4F0" w14:textId="77777777" w:rsidR="005B658F" w:rsidRDefault="005B658F" w:rsidP="00EB3B62">
      <w:pPr>
        <w:pStyle w:val="DocumentHeading2"/>
      </w:pPr>
      <w:r>
        <w:t>Texas School for the Blind &amp; Visually Impaired</w:t>
      </w:r>
    </w:p>
    <w:p w14:paraId="1E144729" w14:textId="77777777" w:rsidR="005B658F" w:rsidRDefault="005B658F" w:rsidP="00EB3B62">
      <w:pPr>
        <w:pStyle w:val="DocumentHeading2"/>
      </w:pPr>
      <w:r>
        <w:t>Outreach Programs</w:t>
      </w:r>
    </w:p>
    <w:p w14:paraId="0AFABFFF" w14:textId="77777777" w:rsidR="00DC0A34" w:rsidRPr="002D55EC" w:rsidRDefault="001A22B7" w:rsidP="001331D0">
      <w:pPr>
        <w:pStyle w:val="Heading1"/>
        <w:rPr>
          <w:sz w:val="24"/>
          <w:szCs w:val="24"/>
        </w:rPr>
      </w:pPr>
      <w:r>
        <w:br w:type="page"/>
      </w:r>
      <w:r w:rsidR="00DC0A34" w:rsidRPr="002D55EC">
        <w:lastRenderedPageBreak/>
        <w:t xml:space="preserve">Introduction to Cortical/Cerebral Visual Impairment (CVI) </w:t>
      </w:r>
    </w:p>
    <w:p w14:paraId="50A453C8" w14:textId="77777777" w:rsidR="00DC0A34" w:rsidRDefault="00DC0A34" w:rsidP="001331D0">
      <w:r w:rsidRPr="002D55EC">
        <w:t>Note: videos open in a new window so you can listen to the video and read the handout at the same time.</w:t>
      </w:r>
    </w:p>
    <w:p w14:paraId="4B2EF7B2" w14:textId="77777777" w:rsidR="001331D0" w:rsidRPr="002D55EC" w:rsidRDefault="001331D0" w:rsidP="001331D0"/>
    <w:p w14:paraId="63E151E9" w14:textId="77777777" w:rsidR="00DC0A34" w:rsidRPr="002D55EC" w:rsidRDefault="00DC0A34" w:rsidP="00532A7E">
      <w:pPr>
        <w:pStyle w:val="Heading2"/>
      </w:pPr>
      <w:r w:rsidRPr="002D55EC">
        <w:t>Definition and Incidence</w:t>
      </w:r>
    </w:p>
    <w:p w14:paraId="56104736" w14:textId="77777777" w:rsidR="00DC0A34" w:rsidRPr="002D55EC" w:rsidRDefault="00DC0A34" w:rsidP="001331D0">
      <w:pPr>
        <w:pStyle w:val="ListBullet2"/>
      </w:pPr>
      <w:r w:rsidRPr="002D55EC">
        <w:t>Definition of cortical visual impairment</w:t>
      </w:r>
    </w:p>
    <w:p w14:paraId="4988CE37" w14:textId="77777777" w:rsidR="00DC0A34" w:rsidRPr="002D55EC" w:rsidRDefault="00DC0A34" w:rsidP="001331D0">
      <w:pPr>
        <w:pStyle w:val="ListBullet2"/>
      </w:pPr>
      <w:r w:rsidRPr="002D55EC">
        <w:t>New field of research</w:t>
      </w:r>
    </w:p>
    <w:p w14:paraId="00CDEDD4" w14:textId="32F27901" w:rsidR="00DC0A34" w:rsidRPr="002D55EC" w:rsidRDefault="00DC0A34" w:rsidP="001331D0">
      <w:pPr>
        <w:pStyle w:val="ListBullet2"/>
      </w:pPr>
      <w:r w:rsidRPr="002D55EC">
        <w:t>Fastest growing visual impairment</w:t>
      </w:r>
      <w:r w:rsidR="00705080">
        <w:t xml:space="preserve"> diagnosis</w:t>
      </w:r>
    </w:p>
    <w:p w14:paraId="772991F0" w14:textId="77777777" w:rsidR="00DC0A34" w:rsidRPr="002D55EC" w:rsidRDefault="00DC0A34" w:rsidP="00532A7E">
      <w:pPr>
        <w:pStyle w:val="Heading2"/>
      </w:pPr>
      <w:r w:rsidRPr="002D55EC">
        <w:t>The Problem with Medical Diagnosis</w:t>
      </w:r>
    </w:p>
    <w:p w14:paraId="10D09FAC" w14:textId="77777777" w:rsidR="00DC0A34" w:rsidRPr="002D55EC" w:rsidRDefault="00DC0A34" w:rsidP="001331D0">
      <w:pPr>
        <w:pStyle w:val="ListBullet2"/>
      </w:pPr>
      <w:r w:rsidRPr="002D55EC">
        <w:t>Eye report frequently doesn’t say “CVI”</w:t>
      </w:r>
    </w:p>
    <w:p w14:paraId="2E8A55B0" w14:textId="77777777" w:rsidR="00DC0A34" w:rsidRPr="002D55EC" w:rsidRDefault="00DC0A34" w:rsidP="001331D0">
      <w:pPr>
        <w:pStyle w:val="ListBullet2"/>
      </w:pPr>
      <w:r w:rsidRPr="002D55EC">
        <w:t>Best information may come from neurological</w:t>
      </w:r>
    </w:p>
    <w:p w14:paraId="0C06105D" w14:textId="77777777" w:rsidR="00DC0A34" w:rsidRPr="002D55EC" w:rsidRDefault="00DC0A34" w:rsidP="001331D0">
      <w:pPr>
        <w:pStyle w:val="ListBullet2"/>
      </w:pPr>
      <w:r w:rsidRPr="002D55EC">
        <w:t>Test like MRI is not necessarily useful in diagnosing CVI</w:t>
      </w:r>
    </w:p>
    <w:p w14:paraId="5FAE87F1" w14:textId="77777777" w:rsidR="00DC0A34" w:rsidRPr="002D55EC" w:rsidRDefault="00DC0A34" w:rsidP="00532A7E">
      <w:pPr>
        <w:pStyle w:val="Heading2"/>
      </w:pPr>
      <w:r w:rsidRPr="002D55EC">
        <w:t>Look for “red flags”</w:t>
      </w:r>
    </w:p>
    <w:p w14:paraId="45A1FF51" w14:textId="77777777" w:rsidR="00DC0A34" w:rsidRPr="002D55EC" w:rsidRDefault="00DC0A34" w:rsidP="001331D0">
      <w:pPr>
        <w:pStyle w:val="ListBullet2"/>
      </w:pPr>
      <w:r w:rsidRPr="002D55EC">
        <w:t>Asphyxia-damage depends on severity &amp; duration.  Some causes:  placenta previa, prolapsed cord, delivery complications.</w:t>
      </w:r>
    </w:p>
    <w:p w14:paraId="72CCAD4D" w14:textId="77777777" w:rsidR="00DC0A34" w:rsidRPr="002D55EC" w:rsidRDefault="00DC0A34" w:rsidP="001331D0">
      <w:pPr>
        <w:pStyle w:val="ListBullet2"/>
      </w:pPr>
      <w:r w:rsidRPr="002D55EC">
        <w:t>Hypoxic Ischemic Encephalopathy-too little oxygen (hypoxia), too little blood flow (ischemia), irritation of the brain (encephalopathy).  Results from asphyxia.  Seizures common.</w:t>
      </w:r>
    </w:p>
    <w:p w14:paraId="31214BE0" w14:textId="77777777" w:rsidR="00DC0A34" w:rsidRPr="002D55EC" w:rsidRDefault="00DC0A34" w:rsidP="001331D0">
      <w:pPr>
        <w:pStyle w:val="ListBullet2"/>
      </w:pPr>
      <w:r w:rsidRPr="002D55EC">
        <w:t>Cerebral Vascular Accident-(stroke) blood capillaries in the brain rupture, damage depends on extent of bleed, more common in full term male infants, mostly affects left side of brain, seizures common.</w:t>
      </w:r>
    </w:p>
    <w:p w14:paraId="65688F3D" w14:textId="77777777" w:rsidR="00DC0A34" w:rsidRPr="002D55EC" w:rsidRDefault="00DC0A34" w:rsidP="001331D0">
      <w:pPr>
        <w:pStyle w:val="ListBullet2"/>
      </w:pPr>
      <w:r w:rsidRPr="002D55EC">
        <w:t>Intraventricular Hemorrhage-occurs in premature infants w/in 1st 48 hours.  Severity grades I-IV.</w:t>
      </w:r>
    </w:p>
    <w:p w14:paraId="774C0035" w14:textId="77777777" w:rsidR="00DC0A34" w:rsidRPr="002D55EC" w:rsidRDefault="00DC0A34" w:rsidP="001331D0">
      <w:pPr>
        <w:pStyle w:val="ListBullet2"/>
      </w:pPr>
      <w:r w:rsidRPr="002D55EC">
        <w:t>Periventricular Leukomalacia (PVL)-something, such as trauma, occurs and oxygen does not get to the distant areas of brain.  These die and become filled w/ fluid (sometimes called cysts in the brain).  Can cause CP, developmental delays.</w:t>
      </w:r>
    </w:p>
    <w:p w14:paraId="39B0E46B" w14:textId="77777777" w:rsidR="001331D0" w:rsidRDefault="00DC0A34" w:rsidP="001331D0">
      <w:pPr>
        <w:pStyle w:val="ListBullet2"/>
      </w:pPr>
      <w:r w:rsidRPr="002D55EC">
        <w:t>Infection-viral and bacterial (TORCH)=toxoplasmosis, rubella cytomegalovirus, herpes/HIV.  Also meningitis.</w:t>
      </w:r>
    </w:p>
    <w:p w14:paraId="641DE887" w14:textId="4F860091" w:rsidR="00C21890" w:rsidRDefault="00C21890" w:rsidP="00C21890">
      <w:pPr>
        <w:pStyle w:val="Heading2"/>
      </w:pPr>
      <w:r>
        <w:t>Throughout this web exercise, please refer to:</w:t>
      </w:r>
    </w:p>
    <w:p w14:paraId="5237BDC1" w14:textId="2A32D542" w:rsidR="00DC0A34" w:rsidRDefault="00C21890" w:rsidP="00C21890">
      <w:r w:rsidRPr="00C21890">
        <w:rPr>
          <w:u w:val="single"/>
        </w:rPr>
        <w:t>Cortical Visual Impairment: An Approach to Assessment and Intervention</w:t>
      </w:r>
      <w:r>
        <w:t xml:space="preserve">, by Christine Roman-Lantzy, </w:t>
      </w:r>
      <w:r w:rsidR="003B1AE2">
        <w:t>©2007,</w:t>
      </w:r>
      <w:r>
        <w:t xml:space="preserve"> AFB Press.</w:t>
      </w:r>
      <w:r w:rsidR="001331D0">
        <w:br w:type="page"/>
      </w:r>
    </w:p>
    <w:p w14:paraId="6F99389E" w14:textId="77777777" w:rsidR="00C21890" w:rsidRPr="00C21890" w:rsidRDefault="00C21890" w:rsidP="00C21890"/>
    <w:p w14:paraId="3F7769A2" w14:textId="77777777" w:rsidR="00DC0A34" w:rsidRPr="002D55EC" w:rsidRDefault="00DC0A34" w:rsidP="001331D0">
      <w:pPr>
        <w:pStyle w:val="Heading1"/>
      </w:pPr>
      <w:r w:rsidRPr="002D55EC">
        <w:t>The Brain from Top to Bottom</w:t>
      </w:r>
    </w:p>
    <w:p w14:paraId="631C417E" w14:textId="77777777" w:rsidR="00DC0A34" w:rsidRPr="002D55EC" w:rsidRDefault="00DC0A34" w:rsidP="001331D0">
      <w:pPr>
        <w:pStyle w:val="Caption"/>
      </w:pPr>
      <w:r>
        <w:rPr>
          <w:noProof/>
        </w:rPr>
        <w:drawing>
          <wp:inline distT="0" distB="0" distL="0" distR="0" wp14:anchorId="56CE130D" wp14:editId="3ABDCE9D">
            <wp:extent cx="4241800" cy="2755900"/>
            <wp:effectExtent l="0" t="0" r="0" b="12700"/>
            <wp:docPr id="7" name="Picture 7" descr="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2755900"/>
                    </a:xfrm>
                    <a:prstGeom prst="rect">
                      <a:avLst/>
                    </a:prstGeom>
                    <a:noFill/>
                    <a:ln>
                      <a:noFill/>
                    </a:ln>
                  </pic:spPr>
                </pic:pic>
              </a:graphicData>
            </a:graphic>
          </wp:inline>
        </w:drawing>
      </w:r>
      <w:r w:rsidRPr="002D55EC">
        <w:br/>
        <w:t>Figure 1 Image of the brain including the functional subdivisions of the visual cortex, cerebellum, inferior temporal cortex (ITC), temporal lobe, lateral geniculate nucleus (LGN), frontal lobe, parietal lobe, and occipital lobe. (from  </w:t>
      </w:r>
      <w:hyperlink r:id="rId10" w:history="1">
        <w:r>
          <w:rPr>
            <w:color w:val="0000FF"/>
            <w:u w:val="single"/>
          </w:rPr>
          <w:t>McGill University</w:t>
        </w:r>
      </w:hyperlink>
      <w:r w:rsidRPr="002D55EC">
        <w:t>)</w:t>
      </w:r>
    </w:p>
    <w:p w14:paraId="5C822A7D" w14:textId="1B18FA60" w:rsidR="00DC0A34" w:rsidRDefault="00DC0A34" w:rsidP="00532A7E"/>
    <w:p w14:paraId="5B9D17AB" w14:textId="77777777" w:rsidR="00532A7E" w:rsidRPr="002D55EC" w:rsidRDefault="00532A7E" w:rsidP="00532A7E">
      <w:pPr>
        <w:pStyle w:val="ListBullet2"/>
        <w:numPr>
          <w:ilvl w:val="0"/>
          <w:numId w:val="0"/>
        </w:numPr>
        <w:ind w:left="720" w:hanging="360"/>
      </w:pPr>
    </w:p>
    <w:p w14:paraId="1DE44E8A" w14:textId="77777777" w:rsidR="00DC0A34" w:rsidRPr="002D55EC" w:rsidRDefault="00DC0A34" w:rsidP="001331D0">
      <w:pPr>
        <w:pStyle w:val="Caption"/>
      </w:pPr>
      <w:r>
        <w:rPr>
          <w:noProof/>
        </w:rPr>
        <w:drawing>
          <wp:inline distT="0" distB="0" distL="0" distR="0" wp14:anchorId="1EAC1E4D" wp14:editId="2B876F59">
            <wp:extent cx="2925640" cy="3822700"/>
            <wp:effectExtent l="0" t="0" r="0" b="0"/>
            <wp:docPr id="8" name="Picture 8" descr="kid-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d-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79" cy="3823274"/>
                    </a:xfrm>
                    <a:prstGeom prst="rect">
                      <a:avLst/>
                    </a:prstGeom>
                    <a:noFill/>
                    <a:ln>
                      <a:noFill/>
                    </a:ln>
                  </pic:spPr>
                </pic:pic>
              </a:graphicData>
            </a:graphic>
          </wp:inline>
        </w:drawing>
      </w:r>
      <w:r w:rsidRPr="002D55EC">
        <w:br/>
        <w:t>Figure 2. Drawing by an 8 –year-old child with CVI.  The eyes and hair are on the bottom of the drawing and the mouth is at the top.</w:t>
      </w:r>
    </w:p>
    <w:p w14:paraId="641C6E52" w14:textId="31C130A2" w:rsidR="00A73436" w:rsidRDefault="00A73436">
      <w:pPr>
        <w:rPr>
          <w:b/>
          <w:color w:val="861714"/>
          <w:sz w:val="28"/>
          <w:szCs w:val="28"/>
        </w:rPr>
      </w:pPr>
      <w:r>
        <w:br w:type="page"/>
      </w:r>
    </w:p>
    <w:p w14:paraId="6459CD0E" w14:textId="77777777" w:rsidR="00A73436" w:rsidRDefault="00A73436" w:rsidP="00A73436">
      <w:pPr>
        <w:pStyle w:val="Heading1"/>
      </w:pPr>
      <w:r w:rsidRPr="002D55EC">
        <w:lastRenderedPageBreak/>
        <w:t>Unique Characteristics of CVI</w:t>
      </w:r>
    </w:p>
    <w:p w14:paraId="1B132101" w14:textId="77777777" w:rsidR="00532A7E" w:rsidRPr="00532A7E" w:rsidRDefault="00532A7E" w:rsidP="00532A7E"/>
    <w:p w14:paraId="26A09DE2" w14:textId="77777777" w:rsidR="00DC0A34" w:rsidRDefault="00DC0A34" w:rsidP="001331D0">
      <w:pPr>
        <w:pStyle w:val="ListBullet2"/>
      </w:pPr>
      <w:r w:rsidRPr="002D55EC">
        <w:t>Color:  strong reaction/preferential response to a particular color, typically red or yellow.  Color receptors are diffused through brain &amp; almost all children have some color vision.  Need their favorite color as a visual anchor.</w:t>
      </w:r>
    </w:p>
    <w:p w14:paraId="7AD5B03A" w14:textId="77777777" w:rsidR="00DC0A34" w:rsidRDefault="00DC0A34" w:rsidP="001331D0">
      <w:pPr>
        <w:pStyle w:val="ListBullet2"/>
      </w:pPr>
      <w:r w:rsidRPr="002D55EC">
        <w:t>Movement:  Stimulates the “aware” system, gets the visual system activated.  Movement w/out sound is generally easier to visually process.</w:t>
      </w:r>
    </w:p>
    <w:p w14:paraId="72D6AC0F" w14:textId="77777777" w:rsidR="00DC0A34" w:rsidRPr="002D55EC" w:rsidRDefault="00DC0A34" w:rsidP="001331D0">
      <w:pPr>
        <w:pStyle w:val="ListBullet3"/>
      </w:pPr>
      <w:r w:rsidRPr="002D55EC">
        <w:t>Movement plus reflective qualities provide an invasive, difficult to ignore effect on the visual system.</w:t>
      </w:r>
    </w:p>
    <w:p w14:paraId="3093B98E" w14:textId="77777777" w:rsidR="00DC0A34" w:rsidRPr="002D55EC" w:rsidRDefault="00DC0A34" w:rsidP="001331D0">
      <w:pPr>
        <w:pStyle w:val="ListBullet3"/>
      </w:pPr>
      <w:r w:rsidRPr="002D55EC">
        <w:t>Child may exhibit better than expected navigational skills.</w:t>
      </w:r>
    </w:p>
    <w:p w14:paraId="2E424B0A" w14:textId="77777777" w:rsidR="00DC0A34" w:rsidRPr="002D55EC" w:rsidRDefault="00DC0A34" w:rsidP="001331D0">
      <w:pPr>
        <w:pStyle w:val="ListBullet2"/>
      </w:pPr>
      <w:r w:rsidRPr="002D55EC">
        <w:t>Latency:  delayed response to presentation of object.  Can vary according to time of day, state of alertness, degree of stress, and neurological stability.  Decrease in latency equa</w:t>
      </w:r>
      <w:r>
        <w:t>ls increase in visual behavior.</w:t>
      </w:r>
    </w:p>
    <w:p w14:paraId="404578ED" w14:textId="77777777" w:rsidR="00DC0A34" w:rsidRPr="002D55EC" w:rsidRDefault="00DC0A34" w:rsidP="001331D0">
      <w:pPr>
        <w:pStyle w:val="ListBullet2"/>
      </w:pPr>
      <w:r w:rsidRPr="002D55EC">
        <w:t>Visual Field Preferences: objects are more easily seen in cer</w:t>
      </w:r>
      <w:r>
        <w:t>tain parts of the visual field.</w:t>
      </w:r>
    </w:p>
    <w:p w14:paraId="443D0213" w14:textId="77777777" w:rsidR="00DC0A34" w:rsidRPr="002D55EC" w:rsidRDefault="00DC0A34" w:rsidP="001331D0">
      <w:pPr>
        <w:pStyle w:val="ListBullet3"/>
      </w:pPr>
      <w:r w:rsidRPr="002D55EC">
        <w:t>Especially in periphery, where movement is better detected by the retina.</w:t>
      </w:r>
    </w:p>
    <w:p w14:paraId="738574E8" w14:textId="77777777" w:rsidR="00DC0A34" w:rsidRPr="002D55EC" w:rsidRDefault="00DC0A34" w:rsidP="001331D0">
      <w:pPr>
        <w:pStyle w:val="ListBullet3"/>
      </w:pPr>
      <w:r w:rsidRPr="002D55EC">
        <w:t>Mixed field preferences:  May use one eye for a field preference, and the other for verification.</w:t>
      </w:r>
    </w:p>
    <w:p w14:paraId="61E2D899" w14:textId="77777777" w:rsidR="00DC0A34" w:rsidRPr="002D55EC" w:rsidRDefault="00DC0A34" w:rsidP="001331D0">
      <w:pPr>
        <w:pStyle w:val="ListBullet2"/>
      </w:pPr>
      <w:r w:rsidRPr="002D55EC">
        <w:t>Complexity:  most inter</w:t>
      </w:r>
      <w:r>
        <w:t>fering of all characteristics. </w:t>
      </w:r>
    </w:p>
    <w:p w14:paraId="569C4A36" w14:textId="77777777" w:rsidR="00DC0A34" w:rsidRPr="002D55EC" w:rsidRDefault="00DC0A34" w:rsidP="001331D0">
      <w:pPr>
        <w:pStyle w:val="ListBullet3"/>
      </w:pPr>
      <w:r w:rsidRPr="002D55EC">
        <w:t>Target/object-some objects are too complex, and there is no place for child to anchor his vision and so vision shuts down: faces are very complex.</w:t>
      </w:r>
    </w:p>
    <w:p w14:paraId="44D7D149" w14:textId="77777777" w:rsidR="00DC0A34" w:rsidRPr="002D55EC" w:rsidRDefault="00DC0A34" w:rsidP="001331D0">
      <w:pPr>
        <w:pStyle w:val="ListBullet3"/>
      </w:pPr>
      <w:r w:rsidRPr="002D55EC">
        <w:t>Array-what’s behind the object can cause problems even with preferred objects.  This is responsible for the misconception that vision is variable.  Actually, vision is constant, but background interferes with vision functioning.</w:t>
      </w:r>
    </w:p>
    <w:p w14:paraId="2684A4EE" w14:textId="77777777" w:rsidR="00DC0A34" w:rsidRPr="002D55EC" w:rsidRDefault="00DC0A34" w:rsidP="001331D0">
      <w:pPr>
        <w:pStyle w:val="ListBullet3"/>
      </w:pPr>
      <w:r w:rsidRPr="002D55EC">
        <w:t>Sensory environment-unable to process with more than one sense at a time; will defer to auditory over vision.   Be careful where you place auditory stimuli.  Limit talking while doing vision work.</w:t>
      </w:r>
    </w:p>
    <w:p w14:paraId="49B7F5E8" w14:textId="77777777" w:rsidR="00DC0A34" w:rsidRPr="002D55EC" w:rsidRDefault="00DC0A34" w:rsidP="001331D0">
      <w:pPr>
        <w:pStyle w:val="ListBullet2"/>
      </w:pPr>
      <w:r w:rsidRPr="002D55EC">
        <w:t>Abnormal Reaction to Light-Photophobia/Light Gazing/Non-Purposeful Gaze-prominent in early</w:t>
      </w:r>
      <w:r>
        <w:t xml:space="preserve"> stages.</w:t>
      </w:r>
    </w:p>
    <w:p w14:paraId="3161AF02" w14:textId="77777777" w:rsidR="00DC0A34" w:rsidRPr="002D55EC" w:rsidRDefault="00DC0A34" w:rsidP="001331D0">
      <w:pPr>
        <w:pStyle w:val="ListBullet2"/>
      </w:pPr>
      <w:r w:rsidRPr="002D55EC">
        <w:t xml:space="preserve">Distance Viewing-As object gets farther away, complexity increases.  </w:t>
      </w:r>
      <w:r>
        <w:t>Makes child appear nearsighted.</w:t>
      </w:r>
    </w:p>
    <w:p w14:paraId="0B839E85" w14:textId="77777777" w:rsidR="00DC0A34" w:rsidRPr="002D55EC" w:rsidRDefault="00DC0A34" w:rsidP="001331D0">
      <w:pPr>
        <w:pStyle w:val="ListBullet2"/>
      </w:pPr>
      <w:r w:rsidRPr="002D55EC">
        <w:t>Visual Reflexive Responses-absent, intermittent, or delayed blink reflex.  Blink to threat; blink when yo</w:t>
      </w:r>
      <w:r>
        <w:t>u touch the bridge of the nose.</w:t>
      </w:r>
    </w:p>
    <w:p w14:paraId="53651009" w14:textId="77777777" w:rsidR="00DC0A34" w:rsidRDefault="00DC0A34" w:rsidP="001331D0">
      <w:pPr>
        <w:pStyle w:val="ListBullet2"/>
      </w:pPr>
      <w:r w:rsidRPr="002D55EC">
        <w:t>Visual Novelty-strong response to familiar objects.</w:t>
      </w:r>
      <w:r>
        <w:t>  Appear to ignore novel items.</w:t>
      </w:r>
    </w:p>
    <w:p w14:paraId="12AC8F74" w14:textId="7721752A" w:rsidR="00532A7E" w:rsidRPr="00AB2533" w:rsidRDefault="00DC0A34" w:rsidP="00AB2533">
      <w:pPr>
        <w:pStyle w:val="ListBullet2"/>
        <w:rPr>
          <w:b/>
          <w:bCs/>
          <w:sz w:val="36"/>
          <w:szCs w:val="36"/>
        </w:rPr>
      </w:pPr>
      <w:r w:rsidRPr="002D55EC">
        <w:t>Visual Motor-look and touch ma</w:t>
      </w:r>
      <w:r>
        <w:t>y happen as separate events.</w:t>
      </w:r>
    </w:p>
    <w:p w14:paraId="405870DF" w14:textId="17CA0483" w:rsidR="00DC0A34" w:rsidRPr="00532A7E" w:rsidRDefault="00DC0A34" w:rsidP="00532A7E">
      <w:pPr>
        <w:pStyle w:val="Heading1"/>
      </w:pPr>
      <w:r w:rsidRPr="002D55EC">
        <w:t>Resolution of Characteristics</w:t>
      </w:r>
    </w:p>
    <w:p w14:paraId="1BEEE305" w14:textId="77777777" w:rsidR="00DC0A34" w:rsidRPr="002D55EC" w:rsidRDefault="00DC0A34" w:rsidP="001331D0">
      <w:pPr>
        <w:pStyle w:val="ListBullet2"/>
      </w:pPr>
      <w:r w:rsidRPr="002D55EC">
        <w:t>Best chance for resolution is within first 3 years, but the possibility for resolution continues to exist into adulthood.</w:t>
      </w:r>
    </w:p>
    <w:p w14:paraId="3687FFA6" w14:textId="77777777" w:rsidR="00DC0A34" w:rsidRPr="002D55EC" w:rsidRDefault="00DC0A34" w:rsidP="001331D0">
      <w:pPr>
        <w:pStyle w:val="ListBullet2"/>
      </w:pPr>
      <w:r w:rsidRPr="002D55EC">
        <w:t>Characteristics will not resolve without structured intervention</w:t>
      </w:r>
    </w:p>
    <w:p w14:paraId="1A674C10" w14:textId="77777777" w:rsidR="00DC0A34" w:rsidRPr="002D55EC" w:rsidRDefault="00DC0A34" w:rsidP="001331D0">
      <w:pPr>
        <w:pStyle w:val="ListBullet2"/>
      </w:pPr>
      <w:r w:rsidRPr="002D55EC">
        <w:t>Phase I:  Building visual behavior</w:t>
      </w:r>
    </w:p>
    <w:p w14:paraId="07DDC39A" w14:textId="77777777" w:rsidR="00DC0A34" w:rsidRPr="002D55EC" w:rsidRDefault="00DC0A34" w:rsidP="001331D0">
      <w:pPr>
        <w:pStyle w:val="ListBullet2"/>
      </w:pPr>
      <w:r w:rsidRPr="002D55EC">
        <w:t>Phase II:  Integrating vision with function</w:t>
      </w:r>
    </w:p>
    <w:p w14:paraId="0FD1BDC8" w14:textId="77777777" w:rsidR="00AB2533" w:rsidRDefault="00DC0A34" w:rsidP="00AB2533">
      <w:pPr>
        <w:pStyle w:val="ListBullet2"/>
      </w:pPr>
      <w:r w:rsidRPr="002D55EC">
        <w:t>Phase III:  Resolution of all CVI characteristics</w:t>
      </w:r>
    </w:p>
    <w:p w14:paraId="3715B9BC" w14:textId="7C6A6311" w:rsidR="00AB2533" w:rsidRPr="002D55EC" w:rsidRDefault="00AB2533" w:rsidP="00AB2533">
      <w:r w:rsidRPr="00C5687D">
        <w:t xml:space="preserve">"When a child with CVI needs to control his head, use his vision, and perform fine motor tasks, the effort can be compared to a neurologically intact adult learning to knit while walking a tightrope." </w:t>
      </w:r>
      <w:r w:rsidRPr="002D55EC">
        <w:t xml:space="preserve"> </w:t>
      </w:r>
      <w:r w:rsidRPr="00C5687D">
        <w:t>http://www.tsbvi.edu/seehear/fall98/cortical.htm</w:t>
      </w:r>
    </w:p>
    <w:p w14:paraId="09C2F51D" w14:textId="77777777" w:rsidR="00DC0A34" w:rsidRPr="002D55EC" w:rsidRDefault="00DC0A34" w:rsidP="00532A7E">
      <w:pPr>
        <w:pStyle w:val="Heading1"/>
      </w:pPr>
      <w:r w:rsidRPr="002D55EC">
        <w:lastRenderedPageBreak/>
        <w:t>Introduction t</w:t>
      </w:r>
      <w:r w:rsidR="001331D0">
        <w:t>o Christine Roman-Lantzy’s Asses</w:t>
      </w:r>
      <w:r w:rsidRPr="002D55EC">
        <w:t>sment</w:t>
      </w:r>
    </w:p>
    <w:p w14:paraId="5CD473EE" w14:textId="77777777" w:rsidR="00DC0A34" w:rsidRPr="002D55EC" w:rsidRDefault="00DC0A34" w:rsidP="00532A7E">
      <w:pPr>
        <w:pStyle w:val="Heading2"/>
      </w:pPr>
      <w:r w:rsidRPr="002D55EC">
        <w:t>Assessment Framework</w:t>
      </w:r>
    </w:p>
    <w:p w14:paraId="5D706AEB" w14:textId="77777777" w:rsidR="00DC0A34" w:rsidRPr="002D55EC" w:rsidRDefault="00DC0A34" w:rsidP="00532A7E">
      <w:pPr>
        <w:pStyle w:val="ListBullet2"/>
      </w:pPr>
      <w:r w:rsidRPr="002D55EC">
        <w:t>Interview</w:t>
      </w:r>
    </w:p>
    <w:p w14:paraId="3CC2A412" w14:textId="77777777" w:rsidR="00DC0A34" w:rsidRPr="002D55EC" w:rsidRDefault="00DC0A34" w:rsidP="00532A7E">
      <w:pPr>
        <w:pStyle w:val="ListBullet2"/>
      </w:pPr>
      <w:r w:rsidRPr="002D55EC">
        <w:t>Observation</w:t>
      </w:r>
    </w:p>
    <w:p w14:paraId="121D1332" w14:textId="77777777" w:rsidR="00DC0A34" w:rsidRPr="002D55EC" w:rsidRDefault="00DC0A34" w:rsidP="00532A7E">
      <w:pPr>
        <w:pStyle w:val="ListBullet2"/>
      </w:pPr>
      <w:r w:rsidRPr="002D55EC">
        <w:t>Direct evaluation of student</w:t>
      </w:r>
    </w:p>
    <w:p w14:paraId="007611AD" w14:textId="77777777" w:rsidR="00DC0A34" w:rsidRPr="002D55EC" w:rsidRDefault="00DC0A34" w:rsidP="00532A7E">
      <w:pPr>
        <w:pStyle w:val="Heading2"/>
      </w:pPr>
      <w:r w:rsidRPr="002D55EC">
        <w:t>Reliability</w:t>
      </w:r>
    </w:p>
    <w:p w14:paraId="4C90C947" w14:textId="77777777" w:rsidR="00DC0A34" w:rsidRPr="002D55EC" w:rsidRDefault="00DC0A34" w:rsidP="00532A7E">
      <w:r w:rsidRPr="00532A7E">
        <w:rPr>
          <w:u w:val="single"/>
        </w:rPr>
        <w:t>The Reliability of the CVI Range: A Functional Vision Assessment for Children with Cortical Visual Impairment</w:t>
      </w:r>
      <w:r w:rsidRPr="002D55EC">
        <w:t>, by Sandra Newcomb, Journal of Visual Impairment &amp; Blindness, October 2010, © 2010 AFB.</w:t>
      </w:r>
    </w:p>
    <w:p w14:paraId="698681CF" w14:textId="77777777" w:rsidR="00DC0A34" w:rsidRPr="002D55EC" w:rsidRDefault="00DC0A34" w:rsidP="00532A7E">
      <w:pPr>
        <w:pStyle w:val="Heading2"/>
      </w:pPr>
      <w:r w:rsidRPr="002D55EC">
        <w:t>Parent Interview/Teacher Interview</w:t>
      </w:r>
    </w:p>
    <w:p w14:paraId="682EBF68" w14:textId="77777777" w:rsidR="00DC0A34" w:rsidRPr="002D55EC" w:rsidRDefault="00DC0A34" w:rsidP="00532A7E">
      <w:pPr>
        <w:pStyle w:val="ListBullet2"/>
      </w:pPr>
      <w:r w:rsidRPr="002D55EC">
        <w:t>Information on medical background</w:t>
      </w:r>
    </w:p>
    <w:p w14:paraId="6471F77C" w14:textId="77777777" w:rsidR="00DC0A34" w:rsidRPr="002D55EC" w:rsidRDefault="00DC0A34" w:rsidP="00532A7E">
      <w:pPr>
        <w:pStyle w:val="ListBullet2"/>
      </w:pPr>
      <w:r w:rsidRPr="002D55EC">
        <w:t>Eye report</w:t>
      </w:r>
    </w:p>
    <w:p w14:paraId="03302FCF" w14:textId="77777777" w:rsidR="00DC0A34" w:rsidRPr="002D55EC" w:rsidRDefault="00DC0A34" w:rsidP="00532A7E">
      <w:pPr>
        <w:pStyle w:val="ListBullet2"/>
      </w:pPr>
      <w:r w:rsidRPr="002D55EC">
        <w:t>What does child like to look at</w:t>
      </w:r>
    </w:p>
    <w:p w14:paraId="6AA6D0EB" w14:textId="77777777" w:rsidR="00DC0A34" w:rsidRPr="002D55EC" w:rsidRDefault="00DC0A34" w:rsidP="00532A7E">
      <w:pPr>
        <w:pStyle w:val="ListBullet2"/>
      </w:pPr>
      <w:r w:rsidRPr="002D55EC">
        <w:t>What are your concerns</w:t>
      </w:r>
    </w:p>
    <w:p w14:paraId="1CA9B479" w14:textId="77777777" w:rsidR="00DC0A34" w:rsidRPr="002D55EC" w:rsidRDefault="00DC0A34" w:rsidP="00532A7E">
      <w:pPr>
        <w:pStyle w:val="ListBullet2"/>
      </w:pPr>
      <w:r w:rsidRPr="002D55EC">
        <w:t>Child’s favorite color</w:t>
      </w:r>
    </w:p>
    <w:p w14:paraId="357D3C0E" w14:textId="77777777" w:rsidR="00DC0A34" w:rsidRPr="002D55EC" w:rsidRDefault="00DC0A34" w:rsidP="00532A7E">
      <w:pPr>
        <w:pStyle w:val="ListBullet2"/>
      </w:pPr>
      <w:r w:rsidRPr="002D55EC">
        <w:t>When is child most visually alert</w:t>
      </w:r>
    </w:p>
    <w:p w14:paraId="2075C479" w14:textId="77777777" w:rsidR="00DC0A34" w:rsidRPr="002D55EC" w:rsidRDefault="00DC0A34" w:rsidP="00532A7E">
      <w:pPr>
        <w:pStyle w:val="ListBullet2"/>
      </w:pPr>
      <w:r w:rsidRPr="002D55EC">
        <w:t>Does child look directly into faces</w:t>
      </w:r>
    </w:p>
    <w:p w14:paraId="60FF1233" w14:textId="77777777" w:rsidR="00DC0A34" w:rsidRPr="002D55EC" w:rsidRDefault="00DC0A34" w:rsidP="00532A7E">
      <w:pPr>
        <w:pStyle w:val="ListBullet2"/>
      </w:pPr>
      <w:r w:rsidRPr="002D55EC">
        <w:t>Does child notice things that move more than things that are stable</w:t>
      </w:r>
    </w:p>
    <w:p w14:paraId="346A09DE" w14:textId="77777777" w:rsidR="00DC0A34" w:rsidRPr="002D55EC" w:rsidRDefault="00DC0A34" w:rsidP="00532A7E">
      <w:pPr>
        <w:pStyle w:val="ListBullet2"/>
      </w:pPr>
      <w:r w:rsidRPr="002D55EC">
        <w:t>Does child seem to look “through” rather than at objects</w:t>
      </w:r>
    </w:p>
    <w:p w14:paraId="63094D3B" w14:textId="77777777" w:rsidR="00DC0A34" w:rsidRPr="002D55EC" w:rsidRDefault="00DC0A34" w:rsidP="00532A7E">
      <w:pPr>
        <w:pStyle w:val="Heading2"/>
      </w:pPr>
      <w:r w:rsidRPr="002D55EC">
        <w:t>Observation of Vision</w:t>
      </w:r>
    </w:p>
    <w:p w14:paraId="76E4CA7D" w14:textId="77777777" w:rsidR="00DC0A34" w:rsidRPr="002D55EC" w:rsidRDefault="00DC0A34" w:rsidP="00532A7E">
      <w:pPr>
        <w:pStyle w:val="ListBullet2"/>
      </w:pPr>
      <w:r w:rsidRPr="002D55EC">
        <w:t>In living and learning environments</w:t>
      </w:r>
    </w:p>
    <w:p w14:paraId="4239197E" w14:textId="77777777" w:rsidR="00DC0A34" w:rsidRPr="002D55EC" w:rsidRDefault="00DC0A34" w:rsidP="00532A7E">
      <w:pPr>
        <w:pStyle w:val="ListBullet2"/>
      </w:pPr>
      <w:r w:rsidRPr="002D55EC">
        <w:t>Quiet and noisy times</w:t>
      </w:r>
    </w:p>
    <w:p w14:paraId="2393C8D2" w14:textId="77777777" w:rsidR="00DC0A34" w:rsidRPr="002D55EC" w:rsidRDefault="00DC0A34" w:rsidP="00532A7E">
      <w:pPr>
        <w:pStyle w:val="ListBullet2"/>
      </w:pPr>
      <w:r w:rsidRPr="002D55EC">
        <w:t>Near and distance</w:t>
      </w:r>
    </w:p>
    <w:p w14:paraId="778BF627" w14:textId="77777777" w:rsidR="00DC0A34" w:rsidRPr="002D55EC" w:rsidRDefault="00DC0A34" w:rsidP="00532A7E">
      <w:pPr>
        <w:pStyle w:val="ListBullet2"/>
      </w:pPr>
      <w:r w:rsidRPr="002D55EC">
        <w:t>Familiar and unfamiliar objects</w:t>
      </w:r>
    </w:p>
    <w:p w14:paraId="4F6F3C84" w14:textId="77777777" w:rsidR="00DC0A34" w:rsidRPr="002D55EC" w:rsidRDefault="00DC0A34" w:rsidP="00532A7E">
      <w:pPr>
        <w:pStyle w:val="ListBullet2"/>
      </w:pPr>
      <w:r w:rsidRPr="002D55EC">
        <w:t>Cluttered and simple backgrounds</w:t>
      </w:r>
    </w:p>
    <w:p w14:paraId="797161A7" w14:textId="77777777" w:rsidR="00DC0A34" w:rsidRPr="002D55EC" w:rsidRDefault="00DC0A34" w:rsidP="00532A7E">
      <w:pPr>
        <w:pStyle w:val="ListBullet2"/>
      </w:pPr>
      <w:r w:rsidRPr="002D55EC">
        <w:t>Interest in objects of specific color (color preference)</w:t>
      </w:r>
    </w:p>
    <w:p w14:paraId="0DBC2B5F" w14:textId="77777777" w:rsidR="00DC0A34" w:rsidRPr="002D55EC" w:rsidRDefault="00DC0A34" w:rsidP="00532A7E">
      <w:pPr>
        <w:pStyle w:val="ListBullet2"/>
      </w:pPr>
      <w:r w:rsidRPr="002D55EC">
        <w:t>Movement</w:t>
      </w:r>
    </w:p>
    <w:p w14:paraId="06D89DFA" w14:textId="77777777" w:rsidR="00DC0A34" w:rsidRPr="002D55EC" w:rsidRDefault="00DC0A34" w:rsidP="00532A7E">
      <w:pPr>
        <w:pStyle w:val="ListBullet2"/>
      </w:pPr>
      <w:r w:rsidRPr="002D55EC">
        <w:t>Light gazing</w:t>
      </w:r>
    </w:p>
    <w:p w14:paraId="3F3137B8" w14:textId="77777777" w:rsidR="00DC0A34" w:rsidRPr="002D55EC" w:rsidRDefault="00DC0A34" w:rsidP="00532A7E">
      <w:pPr>
        <w:pStyle w:val="ListBullet2"/>
      </w:pPr>
      <w:r w:rsidRPr="002D55EC">
        <w:t>Preferential viewing</w:t>
      </w:r>
    </w:p>
    <w:p w14:paraId="5E3354A6" w14:textId="77777777" w:rsidR="00DC0A34" w:rsidRPr="002D55EC" w:rsidRDefault="00DC0A34" w:rsidP="00532A7E">
      <w:pPr>
        <w:pStyle w:val="Heading2"/>
      </w:pPr>
      <w:r w:rsidRPr="002D55EC">
        <w:t>Direct Evaluation</w:t>
      </w:r>
    </w:p>
    <w:p w14:paraId="72435718" w14:textId="77777777" w:rsidR="00DC0A34" w:rsidRPr="002D55EC" w:rsidRDefault="00DC0A34" w:rsidP="00532A7E">
      <w:pPr>
        <w:pStyle w:val="ListBullet2"/>
      </w:pPr>
      <w:r w:rsidRPr="002D55EC">
        <w:t>Evaluate range of visual functioning</w:t>
      </w:r>
    </w:p>
    <w:p w14:paraId="1C71180D" w14:textId="77777777" w:rsidR="00DC0A34" w:rsidRPr="002D55EC" w:rsidRDefault="00DC0A34" w:rsidP="00532A7E">
      <w:pPr>
        <w:pStyle w:val="ListBullet2"/>
      </w:pPr>
      <w:r w:rsidRPr="002D55EC">
        <w:t>Evaluate presence and degree of individual CVI characteristics</w:t>
      </w:r>
    </w:p>
    <w:p w14:paraId="39B46697" w14:textId="77777777" w:rsidR="00DC0A34" w:rsidRPr="002D55EC" w:rsidRDefault="00DC0A34" w:rsidP="00532A7E">
      <w:pPr>
        <w:pStyle w:val="ListBullet2"/>
      </w:pPr>
      <w:r w:rsidRPr="002D55EC">
        <w:t>May need several sessions to test </w:t>
      </w:r>
    </w:p>
    <w:p w14:paraId="58D08DB7" w14:textId="77777777" w:rsidR="00DC0A34" w:rsidRPr="002D55EC" w:rsidRDefault="00DC0A34" w:rsidP="00532A7E">
      <w:pPr>
        <w:pStyle w:val="Heading2"/>
      </w:pPr>
      <w:r w:rsidRPr="002D55EC">
        <w:t>Forms</w:t>
      </w:r>
    </w:p>
    <w:p w14:paraId="53D97DAC" w14:textId="77777777" w:rsidR="00DC0A34" w:rsidRPr="002D55EC" w:rsidRDefault="00DC0A34" w:rsidP="00532A7E">
      <w:pPr>
        <w:pStyle w:val="ListBullet2"/>
      </w:pPr>
      <w:r w:rsidRPr="002D55EC">
        <w:t>Parent Interview questions are on page 34 of book.</w:t>
      </w:r>
    </w:p>
    <w:p w14:paraId="59B7014E" w14:textId="73EAC15F" w:rsidR="00DC0A34" w:rsidRPr="002D55EC" w:rsidRDefault="00DC0A34" w:rsidP="00532A7E">
      <w:pPr>
        <w:pStyle w:val="ListBullet2"/>
      </w:pPr>
      <w:r w:rsidRPr="002D55EC">
        <w:t xml:space="preserve">Answer Guide to Parent Interview – </w:t>
      </w:r>
      <w:r w:rsidR="00532A7E">
        <w:t>page 41</w:t>
      </w:r>
      <w:r w:rsidRPr="002D55EC">
        <w:t>, appendix 4a.</w:t>
      </w:r>
    </w:p>
    <w:p w14:paraId="5CB9F4A9" w14:textId="50C0DEDE" w:rsidR="00DC0A34" w:rsidRPr="002D55EC" w:rsidRDefault="00DC0A34" w:rsidP="00532A7E">
      <w:pPr>
        <w:pStyle w:val="ListBullet2"/>
      </w:pPr>
      <w:r w:rsidRPr="002D55EC">
        <w:t xml:space="preserve">Rating 1– Across CVI Characteristics Method – Figure 5.2, </w:t>
      </w:r>
      <w:r w:rsidR="00532A7E">
        <w:t>page 57</w:t>
      </w:r>
    </w:p>
    <w:p w14:paraId="64EBE3BD" w14:textId="6ED92CA2" w:rsidR="00DC0A34" w:rsidRPr="002D55EC" w:rsidRDefault="00DC0A34" w:rsidP="00532A7E">
      <w:pPr>
        <w:pStyle w:val="ListBullet2"/>
      </w:pPr>
      <w:r w:rsidRPr="002D55EC">
        <w:t>Rating 1 – CVI Sc</w:t>
      </w:r>
      <w:r w:rsidR="00AB2533">
        <w:t>oring Guide – page 97</w:t>
      </w:r>
      <w:r w:rsidRPr="002D55EC">
        <w:t>, appendix 5a.</w:t>
      </w:r>
    </w:p>
    <w:p w14:paraId="488CBC86" w14:textId="3FBA2BD1" w:rsidR="00DC0A34" w:rsidRPr="002D55EC" w:rsidRDefault="00DC0A34" w:rsidP="00532A7E">
      <w:pPr>
        <w:pStyle w:val="ListBullet2"/>
      </w:pPr>
      <w:r w:rsidRPr="002D55EC">
        <w:t xml:space="preserve">Rating 2 – Within CVI Characteristic Method/CVI Resolution Chart – Figure 5.6, </w:t>
      </w:r>
      <w:r w:rsidR="00532A7E">
        <w:t>page 75</w:t>
      </w:r>
    </w:p>
    <w:p w14:paraId="5A294BFA" w14:textId="2DF5F1F1" w:rsidR="00DC0A34" w:rsidRPr="002D55EC" w:rsidRDefault="00AB2533" w:rsidP="00532A7E">
      <w:pPr>
        <w:pStyle w:val="ListBullet2"/>
      </w:pPr>
      <w:r>
        <w:t>Essential Forms are</w:t>
      </w:r>
      <w:r w:rsidR="00532A7E">
        <w:t xml:space="preserve"> listed beginning page 186</w:t>
      </w:r>
    </w:p>
    <w:p w14:paraId="46C74798" w14:textId="77777777" w:rsidR="001A22B7" w:rsidRPr="001A22B7" w:rsidRDefault="001A22B7" w:rsidP="00DC0A34">
      <w:pPr>
        <w:pStyle w:val="Title"/>
        <w:rPr>
          <w:color w:val="861714"/>
          <w:sz w:val="28"/>
          <w:szCs w:val="28"/>
        </w:rPr>
      </w:pPr>
      <w:bookmarkStart w:id="1" w:name="attachments"/>
      <w:bookmarkEnd w:id="1"/>
      <w:r>
        <w:br w:type="page"/>
      </w:r>
      <w:r w:rsidRPr="001A22B7">
        <w:rPr>
          <w:color w:val="861714"/>
          <w:sz w:val="28"/>
          <w:szCs w:val="28"/>
        </w:rPr>
        <w:lastRenderedPageBreak/>
        <w:t>Texas School for the Blind &amp; Visually Impaired</w:t>
      </w:r>
    </w:p>
    <w:p w14:paraId="66125CFF" w14:textId="77777777" w:rsidR="001A22B7" w:rsidRPr="001A22B7" w:rsidRDefault="001A22B7" w:rsidP="001A22B7">
      <w:pPr>
        <w:jc w:val="center"/>
        <w:rPr>
          <w:color w:val="861714"/>
          <w:sz w:val="28"/>
          <w:szCs w:val="28"/>
        </w:rPr>
      </w:pPr>
      <w:r w:rsidRPr="001A22B7">
        <w:rPr>
          <w:color w:val="861714"/>
          <w:sz w:val="28"/>
          <w:szCs w:val="28"/>
        </w:rPr>
        <w:t>Outreach Programs</w:t>
      </w:r>
    </w:p>
    <w:p w14:paraId="6986871D" w14:textId="77777777" w:rsidR="001A22B7" w:rsidRDefault="00DC0A34" w:rsidP="001A22B7">
      <w:pPr>
        <w:keepNext/>
        <w:jc w:val="center"/>
      </w:pPr>
      <w:r>
        <w:rPr>
          <w:noProof/>
        </w:rPr>
        <w:drawing>
          <wp:inline distT="0" distB="0" distL="0" distR="0" wp14:anchorId="1677569D" wp14:editId="7B428B77">
            <wp:extent cx="1041400" cy="914400"/>
            <wp:effectExtent l="0" t="0" r="0" b="0"/>
            <wp:docPr id="3" name="Picture 3"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BVILogoSca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914400"/>
                    </a:xfrm>
                    <a:prstGeom prst="rect">
                      <a:avLst/>
                    </a:prstGeom>
                    <a:noFill/>
                    <a:ln>
                      <a:noFill/>
                    </a:ln>
                  </pic:spPr>
                </pic:pic>
              </a:graphicData>
            </a:graphic>
          </wp:inline>
        </w:drawing>
      </w:r>
    </w:p>
    <w:p w14:paraId="68FA53A0" w14:textId="77777777" w:rsidR="001A22B7" w:rsidRDefault="001A22B7" w:rsidP="001A22B7">
      <w:pPr>
        <w:pStyle w:val="Caption"/>
        <w:jc w:val="center"/>
      </w:pPr>
      <w:r>
        <w:t xml:space="preserve">Figure </w:t>
      </w:r>
      <w:r w:rsidR="000C019B">
        <w:fldChar w:fldCharType="begin"/>
      </w:r>
      <w:r w:rsidR="000C019B">
        <w:instrText xml:space="preserve"> SEQ Figure \* ARABIC </w:instrText>
      </w:r>
      <w:r w:rsidR="000C019B">
        <w:fldChar w:fldCharType="separate"/>
      </w:r>
      <w:r>
        <w:rPr>
          <w:noProof/>
        </w:rPr>
        <w:t>3</w:t>
      </w:r>
      <w:r w:rsidR="000C019B">
        <w:rPr>
          <w:noProof/>
        </w:rPr>
        <w:fldChar w:fldCharType="end"/>
      </w:r>
      <w:r>
        <w:t xml:space="preserve"> TSBVI logo.</w:t>
      </w:r>
    </w:p>
    <w:p w14:paraId="66671723" w14:textId="77777777" w:rsidR="001A22B7" w:rsidRDefault="001A22B7" w:rsidP="001A22B7"/>
    <w:p w14:paraId="1BEF76C7" w14:textId="77777777" w:rsidR="001A22B7" w:rsidRDefault="001A22B7" w:rsidP="001A22B7"/>
    <w:p w14:paraId="4CAC7AB2" w14:textId="77777777" w:rsidR="001A22B7" w:rsidRDefault="001A22B7" w:rsidP="001A22B7"/>
    <w:p w14:paraId="0FEBE6AB" w14:textId="77777777" w:rsidR="001A22B7" w:rsidRDefault="001A22B7" w:rsidP="001A22B7"/>
    <w:p w14:paraId="67FCE617" w14:textId="77777777" w:rsidR="001A22B7" w:rsidRDefault="001A22B7" w:rsidP="001A22B7"/>
    <w:p w14:paraId="6C13F47E" w14:textId="77777777" w:rsidR="001A22B7" w:rsidRDefault="001A22B7" w:rsidP="001A22B7"/>
    <w:p w14:paraId="54977471" w14:textId="77777777" w:rsidR="001A22B7" w:rsidRDefault="001A22B7" w:rsidP="001A22B7"/>
    <w:p w14:paraId="515AF7D4" w14:textId="77777777" w:rsidR="001A22B7" w:rsidRDefault="001A22B7" w:rsidP="001A22B7"/>
    <w:p w14:paraId="29E2659F" w14:textId="77777777" w:rsidR="001A22B7" w:rsidRDefault="001A22B7" w:rsidP="001A22B7"/>
    <w:p w14:paraId="6D6143EC" w14:textId="77777777" w:rsidR="001A22B7" w:rsidRDefault="001A22B7" w:rsidP="001A22B7"/>
    <w:p w14:paraId="4777B9A8" w14:textId="77777777" w:rsidR="001A22B7" w:rsidRDefault="001A22B7" w:rsidP="001A22B7"/>
    <w:p w14:paraId="571A44DC" w14:textId="77777777" w:rsidR="001A22B7" w:rsidRDefault="001A22B7" w:rsidP="001A22B7"/>
    <w:p w14:paraId="25D09C2B" w14:textId="77777777" w:rsidR="001A22B7" w:rsidRDefault="001A22B7" w:rsidP="001A22B7"/>
    <w:p w14:paraId="4F03D4D8" w14:textId="77777777" w:rsidR="001A22B7" w:rsidRDefault="001A22B7" w:rsidP="001A22B7"/>
    <w:p w14:paraId="61093749" w14:textId="77777777" w:rsidR="001A22B7" w:rsidRDefault="001A22B7" w:rsidP="001A22B7"/>
    <w:p w14:paraId="399ADD09" w14:textId="77777777" w:rsidR="001A22B7" w:rsidRDefault="001A22B7" w:rsidP="001A22B7"/>
    <w:p w14:paraId="051E833B" w14:textId="77777777" w:rsidR="001A22B7" w:rsidRDefault="001A22B7" w:rsidP="001A22B7"/>
    <w:p w14:paraId="7E9D238E" w14:textId="77777777" w:rsidR="001A22B7" w:rsidRDefault="001A22B7" w:rsidP="001A22B7"/>
    <w:p w14:paraId="6D69F678" w14:textId="77777777" w:rsidR="001A22B7" w:rsidRDefault="001A22B7" w:rsidP="001A22B7"/>
    <w:p w14:paraId="15214B6A" w14:textId="77777777" w:rsidR="001A22B7" w:rsidRDefault="001A22B7" w:rsidP="001A22B7"/>
    <w:p w14:paraId="3956D1B0" w14:textId="77777777" w:rsidR="001A22B7" w:rsidRDefault="001A22B7" w:rsidP="001A22B7"/>
    <w:p w14:paraId="52B71EE9" w14:textId="77777777" w:rsidR="001A22B7" w:rsidRDefault="001A22B7" w:rsidP="001A22B7"/>
    <w:p w14:paraId="56299F8B" w14:textId="77777777" w:rsidR="001A22B7" w:rsidRDefault="001A22B7" w:rsidP="001A22B7"/>
    <w:p w14:paraId="15DA7B9A" w14:textId="77777777" w:rsidR="001A22B7" w:rsidRDefault="001A22B7" w:rsidP="001A22B7"/>
    <w:p w14:paraId="79C49031" w14:textId="77777777" w:rsidR="001A22B7" w:rsidRDefault="001A22B7" w:rsidP="001A22B7"/>
    <w:p w14:paraId="04DCB26C" w14:textId="77777777" w:rsidR="001A22B7" w:rsidRDefault="001A22B7" w:rsidP="001A22B7"/>
    <w:p w14:paraId="21B58E36" w14:textId="77777777" w:rsidR="001A22B7" w:rsidRDefault="001A22B7" w:rsidP="001A22B7"/>
    <w:p w14:paraId="4D1D7134" w14:textId="77777777" w:rsidR="001A22B7" w:rsidRDefault="001A22B7" w:rsidP="001A22B7"/>
    <w:p w14:paraId="7D8CAB95" w14:textId="77777777" w:rsidR="001A22B7" w:rsidRDefault="001A22B7" w:rsidP="001A22B7"/>
    <w:p w14:paraId="189F6F36" w14:textId="77777777" w:rsidR="001A22B7" w:rsidRDefault="00DC0A34" w:rsidP="001A22B7">
      <w:pPr>
        <w:keepNext/>
      </w:pPr>
      <w:r>
        <w:rPr>
          <w:noProof/>
        </w:rPr>
        <w:drawing>
          <wp:inline distT="0" distB="0" distL="0" distR="0" wp14:anchorId="42ED4A8B" wp14:editId="24518925">
            <wp:extent cx="6858000" cy="1016000"/>
            <wp:effectExtent l="0" t="0" r="0" b="0"/>
            <wp:docPr id="4" name="Picture 4" descr="IDEAlogoDis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logoDisclai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016000"/>
                    </a:xfrm>
                    <a:prstGeom prst="rect">
                      <a:avLst/>
                    </a:prstGeom>
                    <a:noFill/>
                    <a:ln>
                      <a:noFill/>
                    </a:ln>
                  </pic:spPr>
                </pic:pic>
              </a:graphicData>
            </a:graphic>
          </wp:inline>
        </w:drawing>
      </w:r>
    </w:p>
    <w:p w14:paraId="377A3CAA" w14:textId="77777777" w:rsidR="001A22B7" w:rsidRPr="001A22B7" w:rsidRDefault="001A22B7" w:rsidP="001A22B7">
      <w:pPr>
        <w:pStyle w:val="Caption"/>
      </w:pPr>
      <w:r>
        <w:t xml:space="preserve">Figure </w:t>
      </w:r>
      <w:r w:rsidR="000C019B">
        <w:fldChar w:fldCharType="begin"/>
      </w:r>
      <w:r w:rsidR="000C019B">
        <w:instrText xml:space="preserve"> SEQ Figure \* ARABIC </w:instrText>
      </w:r>
      <w:r w:rsidR="000C019B">
        <w:fldChar w:fldCharType="separate"/>
      </w:r>
      <w:r>
        <w:rPr>
          <w:noProof/>
        </w:rPr>
        <w:t>4</w:t>
      </w:r>
      <w:r w:rsidR="000C019B">
        <w:rPr>
          <w:noProof/>
        </w:rPr>
        <w:fldChar w:fldCharType="end"/>
      </w:r>
      <w:r>
        <w:t xml:space="preserve"> IDEAs that Work logo and OSEP disclaimer.</w:t>
      </w:r>
    </w:p>
    <w:sectPr w:rsidR="001A22B7" w:rsidRPr="001A22B7" w:rsidSect="00FA60C8">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328BA" w14:textId="77777777" w:rsidR="001F3937" w:rsidRDefault="001F3937" w:rsidP="00DC6839">
      <w:r>
        <w:separator/>
      </w:r>
    </w:p>
  </w:endnote>
  <w:endnote w:type="continuationSeparator" w:id="0">
    <w:p w14:paraId="04AF872F" w14:textId="77777777" w:rsidR="001F3937" w:rsidRDefault="001F3937"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C9EE" w14:textId="77777777" w:rsidR="00E607EA" w:rsidRDefault="00E607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3106" w14:textId="74403857" w:rsidR="00DC6839" w:rsidRDefault="00E607EA" w:rsidP="00DC6839">
    <w:pPr>
      <w:pStyle w:val="Footer"/>
      <w:jc w:val="both"/>
    </w:pPr>
    <w:r>
      <w:rPr>
        <w:sz w:val="20"/>
        <w:szCs w:val="20"/>
      </w:rPr>
      <w:t>Introduction to CVI</w:t>
    </w:r>
    <w:r w:rsidR="00DC6839" w:rsidRPr="00FA60C8">
      <w:rPr>
        <w:sz w:val="20"/>
        <w:szCs w:val="20"/>
      </w:rPr>
      <w:t xml:space="preserve"> – </w:t>
    </w:r>
    <w:r w:rsidR="00C50338">
      <w:rPr>
        <w:sz w:val="20"/>
        <w:szCs w:val="20"/>
      </w:rPr>
      <w:t xml:space="preserve">August </w:t>
    </w:r>
    <w:r w:rsidR="00FA60C8" w:rsidRPr="00FA60C8">
      <w:rPr>
        <w:sz w:val="20"/>
        <w:szCs w:val="20"/>
      </w:rPr>
      <w:t xml:space="preserve"> 201</w:t>
    </w:r>
    <w:r w:rsidR="00C50338">
      <w:rPr>
        <w:sz w:val="20"/>
        <w:szCs w:val="20"/>
      </w:rPr>
      <w:t>6</w:t>
    </w:r>
    <w:r w:rsidR="00DC6839">
      <w:tab/>
    </w:r>
    <w:r w:rsidR="00DC6839">
      <w:tab/>
    </w:r>
    <w:r w:rsidR="00DC6839">
      <w:fldChar w:fldCharType="begin"/>
    </w:r>
    <w:r w:rsidR="00DC6839">
      <w:instrText xml:space="preserve"> PAGE   \* MERGEFORMAT </w:instrText>
    </w:r>
    <w:r w:rsidR="00DC6839">
      <w:fldChar w:fldCharType="separate"/>
    </w:r>
    <w:r w:rsidR="000C019B">
      <w:rPr>
        <w:noProof/>
      </w:rPr>
      <w:t>2</w:t>
    </w:r>
    <w:r w:rsidR="00DC6839">
      <w:rPr>
        <w:noProof/>
      </w:rPr>
      <w:fldChar w:fldCharType="end"/>
    </w:r>
  </w:p>
  <w:p w14:paraId="27E7BF86" w14:textId="77777777" w:rsidR="00DC6839" w:rsidRDefault="00DC683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5568" w14:textId="77777777" w:rsidR="00E607EA" w:rsidRDefault="00E607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889D" w14:textId="77777777" w:rsidR="001F3937" w:rsidRDefault="001F3937" w:rsidP="00DC6839">
      <w:r>
        <w:separator/>
      </w:r>
    </w:p>
  </w:footnote>
  <w:footnote w:type="continuationSeparator" w:id="0">
    <w:p w14:paraId="29F1492E" w14:textId="77777777" w:rsidR="001F3937" w:rsidRDefault="001F3937" w:rsidP="00DC68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A1DA8" w14:textId="77777777" w:rsidR="00E607EA" w:rsidRDefault="00E607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FC2A" w14:textId="77777777" w:rsidR="00E607EA" w:rsidRDefault="00E607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B1A8" w14:textId="77777777" w:rsidR="00E607EA" w:rsidRDefault="00E607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D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62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1F1016A2"/>
    <w:lvl w:ilvl="0">
      <w:start w:val="1"/>
      <w:numFmt w:val="bullet"/>
      <w:pStyle w:val="ListBullet2"/>
      <w:lvlText w:val=""/>
      <w:lvlJc w:val="left"/>
      <w:pPr>
        <w:ind w:left="720" w:hanging="360"/>
      </w:pPr>
      <w:rPr>
        <w:rFonts w:ascii="Symbol" w:hAnsi="Symbol" w:hint="default"/>
        <w:sz w:val="24"/>
        <w:szCs w:val="24"/>
      </w:rPr>
    </w:lvl>
  </w:abstractNum>
  <w:abstractNum w:abstractNumId="8" w15:restartNumberingAfterBreak="0">
    <w:nsid w:val="FFFFFF88"/>
    <w:multiLevelType w:val="singleLevel"/>
    <w:tmpl w:val="3F063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547B"/>
    <w:multiLevelType w:val="multilevel"/>
    <w:tmpl w:val="922E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42232E"/>
    <w:multiLevelType w:val="multilevel"/>
    <w:tmpl w:val="ACD6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81462F"/>
    <w:multiLevelType w:val="multilevel"/>
    <w:tmpl w:val="63F0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0F0AD5"/>
    <w:multiLevelType w:val="multilevel"/>
    <w:tmpl w:val="66D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54D48"/>
    <w:multiLevelType w:val="multilevel"/>
    <w:tmpl w:val="198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85284"/>
    <w:multiLevelType w:val="multilevel"/>
    <w:tmpl w:val="993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C24DE8"/>
    <w:multiLevelType w:val="multilevel"/>
    <w:tmpl w:val="2464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B6D75"/>
    <w:multiLevelType w:val="multilevel"/>
    <w:tmpl w:val="DDAA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D09DA"/>
    <w:multiLevelType w:val="multilevel"/>
    <w:tmpl w:val="2F7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570693"/>
    <w:multiLevelType w:val="hybridMultilevel"/>
    <w:tmpl w:val="BD7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C2787"/>
    <w:multiLevelType w:val="multilevel"/>
    <w:tmpl w:val="48A41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17DD6"/>
    <w:multiLevelType w:val="multilevel"/>
    <w:tmpl w:val="9802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A63F7"/>
    <w:multiLevelType w:val="multilevel"/>
    <w:tmpl w:val="A6AC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6"/>
  </w:num>
  <w:num w:numId="14">
    <w:abstractNumId w:val="18"/>
  </w:num>
  <w:num w:numId="15">
    <w:abstractNumId w:val="22"/>
  </w:num>
  <w:num w:numId="16">
    <w:abstractNumId w:val="11"/>
  </w:num>
  <w:num w:numId="17">
    <w:abstractNumId w:val="19"/>
  </w:num>
  <w:num w:numId="18">
    <w:abstractNumId w:val="13"/>
  </w:num>
  <w:num w:numId="19">
    <w:abstractNumId w:val="20"/>
  </w:num>
  <w:num w:numId="20">
    <w:abstractNumId w:val="23"/>
  </w:num>
  <w:num w:numId="21">
    <w:abstractNumId w:val="17"/>
  </w:num>
  <w:num w:numId="22">
    <w:abstractNumId w:val="25"/>
  </w:num>
  <w:num w:numId="23">
    <w:abstractNumId w:val="12"/>
  </w:num>
  <w:num w:numId="24">
    <w:abstractNumId w:val="14"/>
  </w:num>
  <w:num w:numId="25">
    <w:abstractNumId w:val="16"/>
  </w:num>
  <w:num w:numId="26">
    <w:abstractNumId w:val="2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A"/>
    <w:rsid w:val="00001F87"/>
    <w:rsid w:val="000C019B"/>
    <w:rsid w:val="00100ACB"/>
    <w:rsid w:val="00131B8C"/>
    <w:rsid w:val="001331D0"/>
    <w:rsid w:val="00151A93"/>
    <w:rsid w:val="001A22B7"/>
    <w:rsid w:val="001E3492"/>
    <w:rsid w:val="001F3937"/>
    <w:rsid w:val="002043F2"/>
    <w:rsid w:val="00234EE7"/>
    <w:rsid w:val="003B1AE2"/>
    <w:rsid w:val="0042493B"/>
    <w:rsid w:val="004E6652"/>
    <w:rsid w:val="00532A7E"/>
    <w:rsid w:val="00563DE9"/>
    <w:rsid w:val="005B658F"/>
    <w:rsid w:val="005D648C"/>
    <w:rsid w:val="005E232F"/>
    <w:rsid w:val="005F3CC5"/>
    <w:rsid w:val="006B0289"/>
    <w:rsid w:val="006B7378"/>
    <w:rsid w:val="006F5D26"/>
    <w:rsid w:val="00705080"/>
    <w:rsid w:val="007A3A53"/>
    <w:rsid w:val="007E107A"/>
    <w:rsid w:val="007E3D12"/>
    <w:rsid w:val="0087496B"/>
    <w:rsid w:val="008A6DD5"/>
    <w:rsid w:val="008C3521"/>
    <w:rsid w:val="00915251"/>
    <w:rsid w:val="00951CAB"/>
    <w:rsid w:val="00963DCC"/>
    <w:rsid w:val="009A01A8"/>
    <w:rsid w:val="00A64A3D"/>
    <w:rsid w:val="00A73436"/>
    <w:rsid w:val="00A91BDF"/>
    <w:rsid w:val="00AB2533"/>
    <w:rsid w:val="00B135F9"/>
    <w:rsid w:val="00B9422C"/>
    <w:rsid w:val="00BD6EA2"/>
    <w:rsid w:val="00C21890"/>
    <w:rsid w:val="00C36FBD"/>
    <w:rsid w:val="00C50338"/>
    <w:rsid w:val="00CA2AF0"/>
    <w:rsid w:val="00CD202B"/>
    <w:rsid w:val="00CF3646"/>
    <w:rsid w:val="00CF615D"/>
    <w:rsid w:val="00DC0A34"/>
    <w:rsid w:val="00DC6839"/>
    <w:rsid w:val="00DD2DC8"/>
    <w:rsid w:val="00E52069"/>
    <w:rsid w:val="00E54E5D"/>
    <w:rsid w:val="00E607EA"/>
    <w:rsid w:val="00EB3B62"/>
    <w:rsid w:val="00F64DD3"/>
    <w:rsid w:val="00F75E40"/>
    <w:rsid w:val="00FA60C8"/>
    <w:rsid w:val="00FE5E5C"/>
    <w:rsid w:val="00FE69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FED5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F615D"/>
    <w:pPr>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CF615D"/>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15D"/>
    <w:rPr>
      <w:b/>
      <w:color w:val="861714"/>
      <w:sz w:val="28"/>
      <w:szCs w:val="28"/>
    </w:rPr>
  </w:style>
  <w:style w:type="character" w:customStyle="1" w:styleId="Heading2Char">
    <w:name w:val="Heading 2 Char"/>
    <w:link w:val="Heading2"/>
    <w:uiPriority w:val="9"/>
    <w:rsid w:val="00CF615D"/>
    <w:rPr>
      <w:rFonts w:eastAsia="MS Gothic"/>
      <w:b/>
      <w:bCs/>
      <w:iCs/>
      <w:color w:val="1A3866"/>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semiHidden/>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bvi.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thebrain.mcgill.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LetterheadOTRcolor</Template>
  <TotalTime>2</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6911</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Cortical Visual Impairment: CVI Web Exercise</dc:title>
  <dc:creator>hurstk</dc:creator>
  <cp:lastModifiedBy>Kurt Lancaster</cp:lastModifiedBy>
  <cp:revision>4</cp:revision>
  <cp:lastPrinted>2013-12-09T15:59:00Z</cp:lastPrinted>
  <dcterms:created xsi:type="dcterms:W3CDTF">2016-08-08T15:40:00Z</dcterms:created>
  <dcterms:modified xsi:type="dcterms:W3CDTF">2017-06-20T18:00:00Z</dcterms:modified>
</cp:coreProperties>
</file>